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3453A" w14:textId="33A98F23" w:rsidR="00FA6159" w:rsidRDefault="001A14F4" w:rsidP="00C363CD">
      <w:pPr>
        <w:pStyle w:val="Heading1"/>
        <w:spacing w:before="0" w:line="240" w:lineRule="auto"/>
      </w:pPr>
      <w:r>
        <w:t>Reading comprehension</w:t>
      </w:r>
    </w:p>
    <w:tbl>
      <w:tblPr>
        <w:tblStyle w:val="TableGrid"/>
        <w:tblW w:w="0" w:type="auto"/>
        <w:tblLayout w:type="fixed"/>
        <w:tblLook w:val="04A0" w:firstRow="1" w:lastRow="0" w:firstColumn="1" w:lastColumn="0" w:noHBand="0" w:noVBand="1"/>
      </w:tblPr>
      <w:tblGrid>
        <w:gridCol w:w="5575"/>
        <w:gridCol w:w="5215"/>
      </w:tblGrid>
      <w:tr w:rsidR="00670388" w14:paraId="4CC0EE6C" w14:textId="77777777" w:rsidTr="003045A1">
        <w:tc>
          <w:tcPr>
            <w:tcW w:w="5575" w:type="dxa"/>
          </w:tcPr>
          <w:p w14:paraId="57074038" w14:textId="77777777" w:rsidR="005673AE" w:rsidRPr="005673AE"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shd w:val="clear" w:color="auto" w:fill="FFFFFF"/>
              </w:rPr>
              <w:t>Jacob Burckhardt’s view that Renaissance</w:t>
            </w:r>
          </w:p>
          <w:p w14:paraId="4C377FE8" w14:textId="77777777" w:rsidR="005673AE" w:rsidRPr="005673AE"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shd w:val="clear" w:color="auto" w:fill="FFFFFF"/>
              </w:rPr>
              <w:t>European women “stood on a footing of perfect</w:t>
            </w:r>
          </w:p>
          <w:p w14:paraId="17273890" w14:textId="2E1F62FB" w:rsidR="005673AE" w:rsidRPr="005673AE" w:rsidRDefault="005673AE" w:rsidP="005673AE">
            <w:pPr>
              <w:rPr>
                <w:rFonts w:ascii="Arial" w:hAnsi="Arial" w:cs="Arial"/>
                <w:color w:val="2A2A2A"/>
                <w:sz w:val="20"/>
                <w:szCs w:val="20"/>
                <w:highlight w:val="yellow"/>
                <w:shd w:val="clear" w:color="auto" w:fill="FFFFFF"/>
              </w:rPr>
            </w:pPr>
            <w:r w:rsidRPr="005673AE">
              <w:rPr>
                <w:rFonts w:ascii="Arial" w:hAnsi="Arial" w:cs="Arial"/>
                <w:color w:val="2A2A2A"/>
                <w:sz w:val="20"/>
                <w:szCs w:val="20"/>
                <w:shd w:val="clear" w:color="auto" w:fill="FFFFFF"/>
              </w:rPr>
              <w:t>equality” with Renaissance men has been repeatedly</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cited by feminist scholars as a prelude to their</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presentation of rich historical evidence of women’s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inequality. In striking contrast to Burckhardt, Joan</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Kelly in her famous 1977 essay, “Did Women Have</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a Renaissance?” argued that the Renaissance was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a period of economic and social decline for women</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relative both to Renaissance men and to medieval</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 xml:space="preserve">women. </w:t>
            </w:r>
            <w:r w:rsidRPr="005673AE">
              <w:rPr>
                <w:rFonts w:ascii="Arial" w:hAnsi="Arial" w:cs="Arial"/>
                <w:color w:val="2A2A2A"/>
                <w:sz w:val="20"/>
                <w:szCs w:val="20"/>
                <w:highlight w:val="yellow"/>
                <w:shd w:val="clear" w:color="auto" w:fill="FFFFFF"/>
              </w:rPr>
              <w:t>Recently, however, a significant trend</w:t>
            </w:r>
          </w:p>
          <w:p w14:paraId="56B1A854" w14:textId="77777777" w:rsidR="005673AE" w:rsidRPr="005673AE" w:rsidRDefault="005673AE" w:rsidP="005673AE">
            <w:pPr>
              <w:rPr>
                <w:rFonts w:ascii="Arial" w:hAnsi="Arial" w:cs="Arial"/>
                <w:color w:val="2A2A2A"/>
                <w:sz w:val="20"/>
                <w:szCs w:val="20"/>
                <w:highlight w:val="yellow"/>
                <w:shd w:val="clear" w:color="auto" w:fill="FFFFFF"/>
              </w:rPr>
            </w:pPr>
            <w:r w:rsidRPr="005673AE">
              <w:rPr>
                <w:rFonts w:ascii="Arial" w:hAnsi="Arial" w:cs="Arial"/>
                <w:color w:val="2A2A2A"/>
                <w:sz w:val="20"/>
                <w:szCs w:val="20"/>
                <w:highlight w:val="yellow"/>
                <w:shd w:val="clear" w:color="auto" w:fill="FFFFFF"/>
              </w:rPr>
              <w:t>among feminist scholars has entailed a rejection</w:t>
            </w:r>
          </w:p>
          <w:p w14:paraId="7E29EAB9" w14:textId="60C0B945" w:rsidR="005673AE" w:rsidRPr="005673AE"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highlight w:val="yellow"/>
                <w:shd w:val="clear" w:color="auto" w:fill="FFFFFF"/>
              </w:rPr>
              <w:t>of both Kelly’s dark vision of the Renaissance and Burckhardt’s rosy one</w:t>
            </w:r>
            <w:r w:rsidRPr="005673AE">
              <w:rPr>
                <w:rFonts w:ascii="Arial" w:hAnsi="Arial" w:cs="Arial"/>
                <w:color w:val="2A2A2A"/>
                <w:sz w:val="20"/>
                <w:szCs w:val="20"/>
                <w:shd w:val="clear" w:color="auto" w:fill="FFFFFF"/>
              </w:rPr>
              <w:t>. Many recent works by these</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scholars stress the ways in which differences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among Renaissance women—especially in terms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of social status and religion—work to complicate</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the kinds of generalizations both Burckhardt and</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 xml:space="preserve">Kelly made </w:t>
            </w:r>
            <w:proofErr w:type="gramStart"/>
            <w:r w:rsidRPr="005673AE">
              <w:rPr>
                <w:rFonts w:ascii="Arial" w:hAnsi="Arial" w:cs="Arial"/>
                <w:color w:val="2A2A2A"/>
                <w:sz w:val="20"/>
                <w:szCs w:val="20"/>
                <w:shd w:val="clear" w:color="auto" w:fill="FFFFFF"/>
              </w:rPr>
              <w:t>on the basis of</w:t>
            </w:r>
            <w:proofErr w:type="gramEnd"/>
            <w:r w:rsidRPr="005673AE">
              <w:rPr>
                <w:rFonts w:ascii="Arial" w:hAnsi="Arial" w:cs="Arial"/>
                <w:color w:val="2A2A2A"/>
                <w:sz w:val="20"/>
                <w:szCs w:val="20"/>
                <w:shd w:val="clear" w:color="auto" w:fill="FFFFFF"/>
              </w:rPr>
              <w:t xml:space="preserve"> their observations about</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upper-class Italian women.</w:t>
            </w:r>
          </w:p>
          <w:p w14:paraId="36078DE1" w14:textId="61A6A438" w:rsidR="005673AE" w:rsidRPr="005673AE"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highlight w:val="yellow"/>
                <w:shd w:val="clear" w:color="auto" w:fill="FFFFFF"/>
              </w:rPr>
              <w:t>The trend is also evident, however, in works focusing on those middle- and upper-class European women whose ability to write gives them disproportionate representation in the historical record</w:t>
            </w:r>
            <w:r w:rsidRPr="005673AE">
              <w:rPr>
                <w:rFonts w:ascii="Arial" w:hAnsi="Arial" w:cs="Arial"/>
                <w:color w:val="2A2A2A"/>
                <w:sz w:val="20"/>
                <w:szCs w:val="20"/>
                <w:shd w:val="clear" w:color="auto" w:fill="FFFFFF"/>
              </w:rPr>
              <w:t xml:space="preserve">. Such women were, simply </w:t>
            </w:r>
            <w:proofErr w:type="gramStart"/>
            <w:r w:rsidRPr="005673AE">
              <w:rPr>
                <w:rFonts w:ascii="Arial" w:hAnsi="Arial" w:cs="Arial"/>
                <w:color w:val="2A2A2A"/>
                <w:sz w:val="20"/>
                <w:szCs w:val="20"/>
                <w:shd w:val="clear" w:color="auto" w:fill="FFFFFF"/>
              </w:rPr>
              <w:t>by virtue of</w:t>
            </w:r>
            <w:proofErr w:type="gramEnd"/>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their literacy, members of a tiny minority of the</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population, so it is risky to take their descriptions of</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their experiences as typical of “female experience”</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 xml:space="preserve">in any general sense. </w:t>
            </w:r>
            <w:r w:rsidRPr="008873DE">
              <w:rPr>
                <w:rFonts w:ascii="Arial" w:hAnsi="Arial" w:cs="Arial"/>
                <w:color w:val="2A2A2A"/>
                <w:sz w:val="20"/>
                <w:szCs w:val="20"/>
                <w:highlight w:val="yellow"/>
                <w:shd w:val="clear" w:color="auto" w:fill="FFFFFF"/>
              </w:rPr>
              <w:t xml:space="preserve">Tina </w:t>
            </w:r>
            <w:proofErr w:type="spellStart"/>
            <w:r w:rsidRPr="008873DE">
              <w:rPr>
                <w:rFonts w:ascii="Arial" w:hAnsi="Arial" w:cs="Arial"/>
                <w:color w:val="2A2A2A"/>
                <w:sz w:val="20"/>
                <w:szCs w:val="20"/>
                <w:highlight w:val="yellow"/>
                <w:shd w:val="clear" w:color="auto" w:fill="FFFFFF"/>
              </w:rPr>
              <w:t>Krontiris</w:t>
            </w:r>
            <w:proofErr w:type="spellEnd"/>
            <w:r w:rsidRPr="008873DE">
              <w:rPr>
                <w:rFonts w:ascii="Arial" w:hAnsi="Arial" w:cs="Arial"/>
                <w:color w:val="2A2A2A"/>
                <w:sz w:val="20"/>
                <w:szCs w:val="20"/>
                <w:highlight w:val="yellow"/>
                <w:shd w:val="clear" w:color="auto" w:fill="FFFFFF"/>
              </w:rPr>
              <w:t>, for example</w:t>
            </w:r>
            <w:r w:rsidRPr="005673AE">
              <w:rPr>
                <w:rFonts w:ascii="Arial" w:hAnsi="Arial" w:cs="Arial"/>
                <w:color w:val="2A2A2A"/>
                <w:sz w:val="20"/>
                <w:szCs w:val="20"/>
                <w:shd w:val="clear" w:color="auto" w:fill="FFFFFF"/>
              </w:rPr>
              <w:t>, in</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her fascinating study of six Renaissance women</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writers, does tend at times to conflate “women” and</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 xml:space="preserve">“women writers,” </w:t>
            </w:r>
            <w:proofErr w:type="gramStart"/>
            <w:r w:rsidRPr="005673AE">
              <w:rPr>
                <w:rFonts w:ascii="Arial" w:hAnsi="Arial" w:cs="Arial"/>
                <w:color w:val="2A2A2A"/>
                <w:sz w:val="20"/>
                <w:szCs w:val="20"/>
                <w:shd w:val="clear" w:color="auto" w:fill="FFFFFF"/>
              </w:rPr>
              <w:t>assuming that</w:t>
            </w:r>
            <w:proofErr w:type="gramEnd"/>
            <w:r w:rsidRPr="005673AE">
              <w:rPr>
                <w:rFonts w:ascii="Arial" w:hAnsi="Arial" w:cs="Arial"/>
                <w:color w:val="2A2A2A"/>
                <w:sz w:val="20"/>
                <w:szCs w:val="20"/>
                <w:shd w:val="clear" w:color="auto" w:fill="FFFFFF"/>
              </w:rPr>
              <w:t xml:space="preserve"> women’s gender,</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irrespective of other social differences, including</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literacy, allows us to view women as a homogeneous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social group and make that group an object of</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 xml:space="preserve">analysis. Nonetheless, </w:t>
            </w:r>
            <w:proofErr w:type="spellStart"/>
            <w:r w:rsidRPr="005673AE">
              <w:rPr>
                <w:rFonts w:ascii="Arial" w:hAnsi="Arial" w:cs="Arial"/>
                <w:color w:val="2A2A2A"/>
                <w:sz w:val="20"/>
                <w:szCs w:val="20"/>
                <w:shd w:val="clear" w:color="auto" w:fill="FFFFFF"/>
              </w:rPr>
              <w:t>Krontiris</w:t>
            </w:r>
            <w:proofErr w:type="spellEnd"/>
            <w:r w:rsidRPr="005673AE">
              <w:rPr>
                <w:rFonts w:ascii="Arial" w:hAnsi="Arial" w:cs="Arial"/>
                <w:color w:val="2A2A2A"/>
                <w:sz w:val="20"/>
                <w:szCs w:val="20"/>
                <w:shd w:val="clear" w:color="auto" w:fill="FFFFFF"/>
              </w:rPr>
              <w:t xml:space="preserve"> makes a significant</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contribution to the field and is representative of</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those authors who offer what might be called a</w:t>
            </w:r>
          </w:p>
          <w:p w14:paraId="5ADACB1A" w14:textId="77777777" w:rsidR="005673AE" w:rsidRPr="005673AE"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shd w:val="clear" w:color="auto" w:fill="FFFFFF"/>
              </w:rPr>
              <w:t>cautiously optimistic assessment of Renaissance</w:t>
            </w:r>
          </w:p>
          <w:p w14:paraId="56D712DE" w14:textId="7D0E4937" w:rsidR="005673AE" w:rsidRPr="005673AE"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shd w:val="clear" w:color="auto" w:fill="FFFFFF"/>
              </w:rPr>
              <w:t>women’s achievements, although she also stresses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the social obstacles Renaissance women faced</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when they sought to raise their “oppositional</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 xml:space="preserve">voices.” </w:t>
            </w:r>
            <w:proofErr w:type="spellStart"/>
            <w:r w:rsidRPr="005673AE">
              <w:rPr>
                <w:rFonts w:ascii="Arial" w:hAnsi="Arial" w:cs="Arial"/>
                <w:color w:val="2A2A2A"/>
                <w:sz w:val="20"/>
                <w:szCs w:val="20"/>
                <w:shd w:val="clear" w:color="auto" w:fill="FFFFFF"/>
              </w:rPr>
              <w:t>Krontiris</w:t>
            </w:r>
            <w:proofErr w:type="spellEnd"/>
            <w:r w:rsidRPr="005673AE">
              <w:rPr>
                <w:rFonts w:ascii="Arial" w:hAnsi="Arial" w:cs="Arial"/>
                <w:color w:val="2A2A2A"/>
                <w:sz w:val="20"/>
                <w:szCs w:val="20"/>
                <w:shd w:val="clear" w:color="auto" w:fill="FFFFFF"/>
              </w:rPr>
              <w:t xml:space="preserve"> is concerned to show women</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intentionally negotiating some power for themselves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(at least in the realm of public discourse) against</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potentially constraining ideologies, but in her sober</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and thoughtful concluding remarks, she suggests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that such verbal opposition to cultural stereotypes</w:t>
            </w:r>
            <w:r>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was highly circumscribed; women seldom attacked</w:t>
            </w:r>
            <w:r w:rsidR="00FA6159">
              <w:rPr>
                <w:rFonts w:ascii="Arial" w:hAnsi="Arial" w:cs="Arial"/>
                <w:color w:val="2A2A2A"/>
                <w:sz w:val="20"/>
                <w:szCs w:val="20"/>
                <w:shd w:val="clear" w:color="auto" w:fill="FFFFFF"/>
              </w:rPr>
              <w:t xml:space="preserve"> </w:t>
            </w:r>
            <w:r w:rsidRPr="005673AE">
              <w:rPr>
                <w:rFonts w:ascii="Arial" w:hAnsi="Arial" w:cs="Arial"/>
                <w:color w:val="2A2A2A"/>
                <w:sz w:val="20"/>
                <w:szCs w:val="20"/>
                <w:shd w:val="clear" w:color="auto" w:fill="FFFFFF"/>
              </w:rPr>
              <w:t>the basic assumptions in the ideologies that</w:t>
            </w:r>
          </w:p>
          <w:p w14:paraId="51178762" w14:textId="13FBB694" w:rsidR="00670388" w:rsidRPr="002F3CE7" w:rsidRDefault="005673AE" w:rsidP="005673AE">
            <w:pPr>
              <w:rPr>
                <w:rFonts w:ascii="Arial" w:hAnsi="Arial" w:cs="Arial"/>
                <w:color w:val="2A2A2A"/>
                <w:sz w:val="20"/>
                <w:szCs w:val="20"/>
                <w:shd w:val="clear" w:color="auto" w:fill="FFFFFF"/>
              </w:rPr>
            </w:pPr>
            <w:r w:rsidRPr="005673AE">
              <w:rPr>
                <w:rFonts w:ascii="Arial" w:hAnsi="Arial" w:cs="Arial"/>
                <w:color w:val="2A2A2A"/>
                <w:sz w:val="20"/>
                <w:szCs w:val="20"/>
                <w:shd w:val="clear" w:color="auto" w:fill="FFFFFF"/>
              </w:rPr>
              <w:t>oppressed them.</w:t>
            </w:r>
          </w:p>
        </w:tc>
        <w:tc>
          <w:tcPr>
            <w:tcW w:w="5215" w:type="dxa"/>
          </w:tcPr>
          <w:p w14:paraId="2A9C07B6" w14:textId="77777777" w:rsidR="00670388" w:rsidRDefault="005673AE">
            <w:pPr>
              <w:rPr>
                <w:noProof/>
              </w:rPr>
            </w:pPr>
            <w:r>
              <w:rPr>
                <w:noProof/>
              </w:rPr>
              <w:drawing>
                <wp:inline distT="0" distB="0" distL="0" distR="0" wp14:anchorId="49D34D4B" wp14:editId="4A4911CF">
                  <wp:extent cx="3288665" cy="202120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88665" cy="2021205"/>
                          </a:xfrm>
                          <a:prstGeom prst="rect">
                            <a:avLst/>
                          </a:prstGeom>
                        </pic:spPr>
                      </pic:pic>
                    </a:graphicData>
                  </a:graphic>
                </wp:inline>
              </w:drawing>
            </w:r>
          </w:p>
          <w:p w14:paraId="14579EBB" w14:textId="51A88682" w:rsidR="005673AE" w:rsidRDefault="005673AE" w:rsidP="005673AE">
            <w:pPr>
              <w:rPr>
                <w:noProof/>
              </w:rPr>
            </w:pPr>
            <w:r>
              <w:rPr>
                <w:noProof/>
              </w:rPr>
              <w:t>D – misread the first sentence of the 2</w:t>
            </w:r>
            <w:r w:rsidRPr="005673AE">
              <w:rPr>
                <w:noProof/>
                <w:vertAlign w:val="superscript"/>
              </w:rPr>
              <w:t>nd</w:t>
            </w:r>
            <w:r>
              <w:rPr>
                <w:noProof/>
              </w:rPr>
              <w:t xml:space="preserve"> paragraph. Trend alludes to rejection of both Burckhardt and Kelly.</w:t>
            </w:r>
          </w:p>
          <w:p w14:paraId="00711FF0" w14:textId="77777777" w:rsidR="005673AE" w:rsidRDefault="005673AE" w:rsidP="005673AE">
            <w:pPr>
              <w:rPr>
                <w:noProof/>
              </w:rPr>
            </w:pPr>
          </w:p>
          <w:p w14:paraId="0EB18ED3" w14:textId="3F362B9B" w:rsidR="005673AE" w:rsidRDefault="005673AE" w:rsidP="005673AE">
            <w:pPr>
              <w:rPr>
                <w:noProof/>
              </w:rPr>
            </w:pPr>
            <w:r>
              <w:rPr>
                <w:noProof/>
              </w:rPr>
              <w:t>C - The author suggests that Krontiris may have erred in taking her six subjects as representative of all women during the Renaissance, not that she made any misinterpretations of their actual writing.</w:t>
            </w:r>
          </w:p>
        </w:tc>
      </w:tr>
    </w:tbl>
    <w:p w14:paraId="0A018AC4" w14:textId="77777777" w:rsidR="00B72AC2" w:rsidRDefault="00B72AC2" w:rsidP="00340C1F">
      <w:pPr>
        <w:spacing w:after="0" w:line="240" w:lineRule="auto"/>
        <w:rPr>
          <w:rFonts w:ascii="Arial" w:eastAsia="Times New Roman" w:hAnsi="Arial" w:cs="Arial"/>
          <w:color w:val="000000"/>
          <w:sz w:val="20"/>
          <w:szCs w:val="24"/>
        </w:rPr>
      </w:pPr>
    </w:p>
    <w:p w14:paraId="3FB553D1" w14:textId="77777777" w:rsidR="00070EF7" w:rsidRDefault="00070EF7" w:rsidP="00340C1F">
      <w:pPr>
        <w:spacing w:after="0" w:line="240" w:lineRule="auto"/>
        <w:rPr>
          <w:rFonts w:ascii="Arial" w:eastAsia="Times New Roman" w:hAnsi="Arial" w:cs="Arial"/>
          <w:color w:val="000000"/>
          <w:sz w:val="20"/>
          <w:szCs w:val="24"/>
        </w:rPr>
      </w:pPr>
    </w:p>
    <w:p w14:paraId="583D2662" w14:textId="77777777" w:rsidR="00070EF7" w:rsidRDefault="00070EF7" w:rsidP="00340C1F">
      <w:pPr>
        <w:spacing w:after="0" w:line="240" w:lineRule="auto"/>
        <w:rPr>
          <w:rFonts w:ascii="Arial" w:eastAsia="Times New Roman" w:hAnsi="Arial" w:cs="Arial"/>
          <w:color w:val="000000"/>
          <w:sz w:val="20"/>
          <w:szCs w:val="24"/>
        </w:rPr>
      </w:pPr>
    </w:p>
    <w:p w14:paraId="54AD1762" w14:textId="77777777" w:rsidR="00070EF7" w:rsidRDefault="00070EF7" w:rsidP="00340C1F">
      <w:pPr>
        <w:spacing w:after="0" w:line="240" w:lineRule="auto"/>
        <w:rPr>
          <w:rFonts w:ascii="Arial" w:eastAsia="Times New Roman" w:hAnsi="Arial" w:cs="Arial"/>
          <w:color w:val="000000"/>
          <w:sz w:val="20"/>
          <w:szCs w:val="24"/>
        </w:rPr>
      </w:pPr>
    </w:p>
    <w:p w14:paraId="43BFFB35" w14:textId="3CF66C7F" w:rsidR="00340C1F" w:rsidRPr="00B72AC2" w:rsidRDefault="00340C1F" w:rsidP="00340C1F">
      <w:pPr>
        <w:spacing w:after="0" w:line="240" w:lineRule="auto"/>
        <w:rPr>
          <w:rFonts w:asciiTheme="majorHAnsi" w:eastAsiaTheme="majorEastAsia" w:hAnsiTheme="majorHAnsi" w:cstheme="majorBidi"/>
          <w:color w:val="2F5496" w:themeColor="accent1" w:themeShade="BF"/>
          <w:sz w:val="32"/>
          <w:szCs w:val="32"/>
        </w:rPr>
      </w:pPr>
      <w:r w:rsidRPr="00340C1F">
        <w:rPr>
          <w:rFonts w:ascii="Arial" w:eastAsia="Times New Roman" w:hAnsi="Arial" w:cs="Arial"/>
          <w:color w:val="000000"/>
          <w:sz w:val="20"/>
          <w:szCs w:val="24"/>
        </w:rPr>
        <w:t>Marcus Garvey - scholars believe which to be true?</w:t>
      </w:r>
      <w:r w:rsidRPr="00340C1F">
        <w:rPr>
          <w:rFonts w:ascii="Arial" w:eastAsia="Times New Roman" w:hAnsi="Arial" w:cs="Arial"/>
          <w:color w:val="000000"/>
          <w:sz w:val="20"/>
          <w:szCs w:val="24"/>
        </w:rPr>
        <w:br/>
      </w:r>
      <w:r w:rsidRPr="00340C1F">
        <w:rPr>
          <w:rFonts w:ascii="Arial" w:eastAsia="Times New Roman" w:hAnsi="Arial" w:cs="Arial"/>
          <w:color w:val="538135" w:themeColor="accent6" w:themeShade="BF"/>
          <w:sz w:val="20"/>
          <w:szCs w:val="24"/>
        </w:rPr>
        <w:t>B: had to change prevailing attitudes</w:t>
      </w:r>
      <w:r w:rsidRPr="00340C1F">
        <w:rPr>
          <w:rFonts w:ascii="Arial" w:eastAsia="Times New Roman" w:hAnsi="Arial" w:cs="Arial"/>
          <w:color w:val="538135" w:themeColor="accent6" w:themeShade="BF"/>
          <w:sz w:val="20"/>
          <w:szCs w:val="24"/>
        </w:rPr>
        <w:br/>
      </w:r>
      <w:r w:rsidRPr="00340C1F">
        <w:rPr>
          <w:rFonts w:ascii="Arial" w:eastAsia="Times New Roman" w:hAnsi="Arial" w:cs="Arial"/>
          <w:color w:val="FF0000"/>
          <w:sz w:val="20"/>
          <w:szCs w:val="24"/>
        </w:rPr>
        <w:t>D. hoped to revitalize consciousness of cultural and historical identity in the African American community</w:t>
      </w:r>
    </w:p>
    <w:p w14:paraId="68BC9599" w14:textId="40731F29" w:rsidR="00340C1F" w:rsidRPr="00340C1F" w:rsidRDefault="00340C1F" w:rsidP="00340C1F">
      <w:pPr>
        <w:spacing w:after="0" w:line="240" w:lineRule="auto"/>
        <w:ind w:left="720"/>
        <w:rPr>
          <w:rFonts w:ascii="Arial" w:eastAsia="Times New Roman" w:hAnsi="Arial" w:cs="Arial"/>
          <w:i/>
          <w:color w:val="000000"/>
          <w:sz w:val="20"/>
          <w:szCs w:val="24"/>
        </w:rPr>
      </w:pPr>
      <w:r w:rsidRPr="00340C1F">
        <w:rPr>
          <w:rFonts w:ascii="Arial" w:eastAsia="Times New Roman" w:hAnsi="Arial" w:cs="Arial"/>
          <w:i/>
          <w:color w:val="000000"/>
          <w:sz w:val="20"/>
          <w:szCs w:val="24"/>
        </w:rPr>
        <w:t xml:space="preserve">Other answers similar in that they all imply EXISTING consciousness among African Americans. B is unique and gets at crux of what question assumes, that Marcus Garvey CREATED it despite lack of prevailing attitudes. </w:t>
      </w:r>
    </w:p>
    <w:p w14:paraId="5A1B518F" w14:textId="77777777" w:rsidR="00070EF7" w:rsidRDefault="00070EF7" w:rsidP="00FA6159">
      <w:pPr>
        <w:spacing w:after="0" w:line="240" w:lineRule="auto"/>
        <w:rPr>
          <w:rFonts w:ascii="Arial" w:eastAsia="Times New Roman" w:hAnsi="Arial" w:cs="Arial"/>
          <w:color w:val="000000"/>
          <w:sz w:val="20"/>
          <w:szCs w:val="24"/>
        </w:rPr>
      </w:pPr>
    </w:p>
    <w:p w14:paraId="6AF1C6CE" w14:textId="77777777" w:rsidR="00070EF7" w:rsidRDefault="00070EF7" w:rsidP="00FA6159">
      <w:pPr>
        <w:spacing w:after="0" w:line="240" w:lineRule="auto"/>
        <w:rPr>
          <w:rFonts w:ascii="Arial" w:eastAsia="Times New Roman" w:hAnsi="Arial" w:cs="Arial"/>
          <w:color w:val="000000"/>
          <w:sz w:val="20"/>
          <w:szCs w:val="24"/>
        </w:rPr>
      </w:pPr>
    </w:p>
    <w:p w14:paraId="2BBF258A" w14:textId="77777777" w:rsidR="00070EF7" w:rsidRDefault="00070EF7" w:rsidP="00FA6159">
      <w:pPr>
        <w:spacing w:after="0" w:line="240" w:lineRule="auto"/>
        <w:rPr>
          <w:rFonts w:ascii="Arial" w:eastAsia="Times New Roman" w:hAnsi="Arial" w:cs="Arial"/>
          <w:color w:val="000000"/>
          <w:sz w:val="20"/>
          <w:szCs w:val="24"/>
        </w:rPr>
      </w:pPr>
    </w:p>
    <w:p w14:paraId="013FAC1C" w14:textId="77777777" w:rsidR="00070EF7" w:rsidRDefault="00070EF7" w:rsidP="00FA6159">
      <w:pPr>
        <w:spacing w:after="0" w:line="240" w:lineRule="auto"/>
        <w:rPr>
          <w:rFonts w:ascii="Arial" w:eastAsia="Times New Roman" w:hAnsi="Arial" w:cs="Arial"/>
          <w:color w:val="000000"/>
          <w:sz w:val="20"/>
          <w:szCs w:val="24"/>
        </w:rPr>
      </w:pPr>
    </w:p>
    <w:p w14:paraId="42CB1448" w14:textId="77777777" w:rsidR="00070EF7" w:rsidRDefault="00070EF7" w:rsidP="00FA6159">
      <w:pPr>
        <w:spacing w:after="0" w:line="240" w:lineRule="auto"/>
        <w:rPr>
          <w:rFonts w:ascii="Arial" w:eastAsia="Times New Roman" w:hAnsi="Arial" w:cs="Arial"/>
          <w:color w:val="000000"/>
          <w:sz w:val="20"/>
          <w:szCs w:val="24"/>
        </w:rPr>
      </w:pPr>
    </w:p>
    <w:p w14:paraId="59DCDC0D" w14:textId="72DBC844" w:rsidR="00FA6159" w:rsidRPr="003A3869" w:rsidRDefault="00FA6159" w:rsidP="00FA6159">
      <w:pPr>
        <w:spacing w:after="0" w:line="240" w:lineRule="auto"/>
        <w:rPr>
          <w:rFonts w:ascii="Arial" w:eastAsia="Times New Roman" w:hAnsi="Arial" w:cs="Arial"/>
          <w:color w:val="000000"/>
          <w:sz w:val="20"/>
          <w:szCs w:val="24"/>
        </w:rPr>
      </w:pPr>
      <w:r w:rsidRPr="003A3869">
        <w:rPr>
          <w:rFonts w:ascii="Arial" w:eastAsia="Times New Roman" w:hAnsi="Arial" w:cs="Arial"/>
          <w:color w:val="000000"/>
          <w:sz w:val="20"/>
          <w:szCs w:val="24"/>
        </w:rPr>
        <w:lastRenderedPageBreak/>
        <w:t xml:space="preserve">The passage indicates </w:t>
      </w:r>
      <w:proofErr w:type="gramStart"/>
      <w:r w:rsidRPr="003A3869">
        <w:rPr>
          <w:rFonts w:ascii="Arial" w:eastAsia="Times New Roman" w:hAnsi="Arial" w:cs="Arial"/>
          <w:color w:val="000000"/>
          <w:sz w:val="20"/>
          <w:szCs w:val="24"/>
        </w:rPr>
        <w:t>all of</w:t>
      </w:r>
      <w:proofErr w:type="gramEnd"/>
      <w:r w:rsidRPr="003A3869">
        <w:rPr>
          <w:rFonts w:ascii="Arial" w:eastAsia="Times New Roman" w:hAnsi="Arial" w:cs="Arial"/>
          <w:color w:val="000000"/>
          <w:sz w:val="20"/>
          <w:szCs w:val="24"/>
        </w:rPr>
        <w:t xml:space="preserve"> the following concerning Mexico’s current demographics EXCEPT: </w:t>
      </w:r>
    </w:p>
    <w:p w14:paraId="08F2C3BB" w14:textId="77777777" w:rsidR="00FA6159" w:rsidRPr="003A3869" w:rsidRDefault="00FA6159" w:rsidP="00FA6159">
      <w:pPr>
        <w:pStyle w:val="ListParagraph"/>
        <w:numPr>
          <w:ilvl w:val="0"/>
          <w:numId w:val="6"/>
        </w:numPr>
        <w:spacing w:after="0" w:line="240" w:lineRule="auto"/>
        <w:rPr>
          <w:rFonts w:ascii="Arial" w:eastAsia="Times New Roman" w:hAnsi="Arial" w:cs="Arial"/>
          <w:color w:val="000000"/>
          <w:sz w:val="20"/>
          <w:szCs w:val="24"/>
        </w:rPr>
      </w:pPr>
      <w:r w:rsidRPr="003A3869">
        <w:rPr>
          <w:rFonts w:ascii="Arial" w:eastAsia="Times New Roman" w:hAnsi="Arial" w:cs="Arial"/>
          <w:b/>
          <w:bCs/>
          <w:color w:val="538135" w:themeColor="accent6" w:themeShade="BF"/>
          <w:sz w:val="20"/>
          <w:szCs w:val="24"/>
        </w:rPr>
        <w:t>Due to the government’s family-planning campaign, Mexico’s population is currently diminishing.</w:t>
      </w:r>
    </w:p>
    <w:p w14:paraId="644B8AB7" w14:textId="77777777" w:rsidR="00FA6159" w:rsidRPr="003A3869" w:rsidRDefault="00FA6159" w:rsidP="00FA6159">
      <w:pPr>
        <w:pStyle w:val="ListParagraph"/>
        <w:numPr>
          <w:ilvl w:val="0"/>
          <w:numId w:val="6"/>
        </w:numPr>
        <w:spacing w:after="0" w:line="240" w:lineRule="auto"/>
        <w:rPr>
          <w:rFonts w:ascii="Arial" w:eastAsia="Times New Roman" w:hAnsi="Arial" w:cs="Arial"/>
          <w:color w:val="000000"/>
          <w:sz w:val="20"/>
          <w:szCs w:val="24"/>
        </w:rPr>
      </w:pPr>
      <w:r w:rsidRPr="003A3869">
        <w:rPr>
          <w:rFonts w:ascii="Arial" w:eastAsia="Times New Roman" w:hAnsi="Arial" w:cs="Arial"/>
          <w:color w:val="000000"/>
          <w:sz w:val="20"/>
          <w:szCs w:val="24"/>
        </w:rPr>
        <w:t>On average, Mexican women of a generation ago gave birth to more than twice as many children as do Mexican women today.</w:t>
      </w:r>
    </w:p>
    <w:p w14:paraId="411567A5" w14:textId="77777777" w:rsidR="00FA6159" w:rsidRPr="003A3869" w:rsidRDefault="00FA6159" w:rsidP="00FA6159">
      <w:pPr>
        <w:pStyle w:val="ListParagraph"/>
        <w:numPr>
          <w:ilvl w:val="0"/>
          <w:numId w:val="6"/>
        </w:numPr>
        <w:spacing w:after="0" w:line="240" w:lineRule="auto"/>
        <w:rPr>
          <w:rFonts w:ascii="Arial" w:eastAsia="Times New Roman" w:hAnsi="Arial" w:cs="Arial"/>
          <w:color w:val="000000"/>
          <w:sz w:val="20"/>
          <w:szCs w:val="24"/>
        </w:rPr>
      </w:pPr>
      <w:r w:rsidRPr="003A3869">
        <w:rPr>
          <w:rFonts w:ascii="Arial" w:eastAsia="Times New Roman" w:hAnsi="Arial" w:cs="Arial"/>
          <w:color w:val="000000"/>
          <w:sz w:val="20"/>
          <w:szCs w:val="24"/>
        </w:rPr>
        <w:t>Many Mexicans still migrate to the United States in search of work.</w:t>
      </w:r>
    </w:p>
    <w:p w14:paraId="6D36049F" w14:textId="77777777" w:rsidR="00FA6159" w:rsidRPr="003A3869" w:rsidRDefault="00FA6159" w:rsidP="00FA6159">
      <w:pPr>
        <w:pStyle w:val="ListParagraph"/>
        <w:numPr>
          <w:ilvl w:val="0"/>
          <w:numId w:val="6"/>
        </w:numPr>
        <w:spacing w:after="0" w:line="240" w:lineRule="auto"/>
        <w:rPr>
          <w:rFonts w:ascii="Arial" w:eastAsia="Times New Roman" w:hAnsi="Arial" w:cs="Arial"/>
          <w:color w:val="000000"/>
          <w:sz w:val="20"/>
          <w:szCs w:val="24"/>
        </w:rPr>
      </w:pPr>
      <w:proofErr w:type="gramStart"/>
      <w:r w:rsidRPr="003A3869">
        <w:rPr>
          <w:rFonts w:ascii="Arial" w:eastAsia="Times New Roman" w:hAnsi="Arial" w:cs="Arial"/>
          <w:color w:val="000000"/>
          <w:sz w:val="20"/>
          <w:szCs w:val="24"/>
        </w:rPr>
        <w:t>As a result of</w:t>
      </w:r>
      <w:proofErr w:type="gramEnd"/>
      <w:r w:rsidRPr="003A3869">
        <w:rPr>
          <w:rFonts w:ascii="Arial" w:eastAsia="Times New Roman" w:hAnsi="Arial" w:cs="Arial"/>
          <w:color w:val="000000"/>
          <w:sz w:val="20"/>
          <w:szCs w:val="24"/>
        </w:rPr>
        <w:t xml:space="preserve"> declining birth rates, Mexico’s population is aging.</w:t>
      </w:r>
    </w:p>
    <w:p w14:paraId="4C5C463E" w14:textId="77777777" w:rsidR="00FA6159" w:rsidRPr="003A3869" w:rsidRDefault="00FA6159" w:rsidP="00FA6159">
      <w:pPr>
        <w:pStyle w:val="ListParagraph"/>
        <w:numPr>
          <w:ilvl w:val="0"/>
          <w:numId w:val="6"/>
        </w:numPr>
        <w:spacing w:after="0" w:line="240" w:lineRule="auto"/>
        <w:rPr>
          <w:rFonts w:ascii="Arial" w:eastAsia="Times New Roman" w:hAnsi="Arial" w:cs="Arial"/>
          <w:color w:val="000000"/>
          <w:sz w:val="20"/>
          <w:szCs w:val="24"/>
        </w:rPr>
      </w:pPr>
      <w:r w:rsidRPr="003A3869">
        <w:rPr>
          <w:rFonts w:ascii="Arial" w:eastAsia="Times New Roman" w:hAnsi="Arial" w:cs="Arial"/>
          <w:color w:val="000000"/>
          <w:sz w:val="20"/>
          <w:szCs w:val="24"/>
        </w:rPr>
        <w:t>A healthy middle class in Mexico has not yet fully developed.</w:t>
      </w:r>
    </w:p>
    <w:p w14:paraId="5450AC82" w14:textId="0F66DCE0" w:rsidR="008B2C40" w:rsidRDefault="00FA6159" w:rsidP="003045A1">
      <w:pPr>
        <w:spacing w:after="0" w:line="240" w:lineRule="auto"/>
        <w:ind w:firstLine="720"/>
        <w:rPr>
          <w:rFonts w:ascii="Arial" w:eastAsia="Times New Roman" w:hAnsi="Arial" w:cs="Arial"/>
          <w:i/>
          <w:color w:val="000000"/>
          <w:sz w:val="20"/>
          <w:szCs w:val="24"/>
        </w:rPr>
      </w:pPr>
      <w:r w:rsidRPr="008B2C40">
        <w:rPr>
          <w:rFonts w:ascii="Arial" w:eastAsia="Times New Roman" w:hAnsi="Arial" w:cs="Arial"/>
          <w:b/>
          <w:bCs/>
          <w:i/>
          <w:color w:val="000000"/>
          <w:sz w:val="20"/>
          <w:szCs w:val="24"/>
        </w:rPr>
        <w:t xml:space="preserve">GROWTH </w:t>
      </w:r>
      <w:r w:rsidRPr="008B2C40">
        <w:rPr>
          <w:rFonts w:ascii="Arial" w:eastAsia="Times New Roman" w:hAnsi="Arial" w:cs="Arial"/>
          <w:i/>
          <w:color w:val="000000"/>
          <w:sz w:val="20"/>
          <w:szCs w:val="24"/>
        </w:rPr>
        <w:t xml:space="preserve">is diminishing, not the population itself. </w:t>
      </w:r>
    </w:p>
    <w:p w14:paraId="783441C8" w14:textId="07CC8FA5" w:rsidR="00070EF7" w:rsidRDefault="00070EF7" w:rsidP="003045A1">
      <w:pPr>
        <w:spacing w:after="0" w:line="240" w:lineRule="auto"/>
        <w:ind w:firstLine="720"/>
        <w:rPr>
          <w:rFonts w:ascii="Arial" w:eastAsia="Times New Roman" w:hAnsi="Arial" w:cs="Arial"/>
          <w:b/>
          <w:bCs/>
          <w:i/>
          <w:color w:val="000000"/>
          <w:sz w:val="20"/>
          <w:szCs w:val="24"/>
        </w:rPr>
      </w:pPr>
    </w:p>
    <w:p w14:paraId="4DAF5554" w14:textId="5A694DAF" w:rsidR="00070EF7" w:rsidRDefault="00070EF7" w:rsidP="003045A1">
      <w:pPr>
        <w:spacing w:after="0" w:line="240" w:lineRule="auto"/>
        <w:ind w:firstLine="720"/>
        <w:rPr>
          <w:rFonts w:ascii="Arial" w:eastAsia="Times New Roman" w:hAnsi="Arial" w:cs="Arial"/>
          <w:b/>
          <w:bCs/>
          <w:i/>
          <w:color w:val="000000"/>
          <w:sz w:val="20"/>
          <w:szCs w:val="24"/>
        </w:rPr>
      </w:pPr>
    </w:p>
    <w:p w14:paraId="14D60812" w14:textId="77777777" w:rsidR="00070EF7" w:rsidRPr="003045A1" w:rsidRDefault="00070EF7" w:rsidP="003045A1">
      <w:pPr>
        <w:spacing w:after="0" w:line="240" w:lineRule="auto"/>
        <w:ind w:firstLine="720"/>
        <w:rPr>
          <w:rFonts w:ascii="Arial" w:eastAsia="Times New Roman" w:hAnsi="Arial" w:cs="Arial"/>
          <w:b/>
          <w:bCs/>
          <w:i/>
          <w:color w:val="000000"/>
          <w:sz w:val="20"/>
          <w:szCs w:val="24"/>
        </w:rPr>
      </w:pPr>
      <w:bookmarkStart w:id="0" w:name="_GoBack"/>
      <w:bookmarkEnd w:id="0"/>
    </w:p>
    <w:tbl>
      <w:tblPr>
        <w:tblStyle w:val="TableGrid"/>
        <w:tblW w:w="0" w:type="auto"/>
        <w:tblLayout w:type="fixed"/>
        <w:tblLook w:val="04A0" w:firstRow="1" w:lastRow="0" w:firstColumn="1" w:lastColumn="0" w:noHBand="0" w:noVBand="1"/>
      </w:tblPr>
      <w:tblGrid>
        <w:gridCol w:w="5395"/>
        <w:gridCol w:w="5395"/>
      </w:tblGrid>
      <w:tr w:rsidR="00740D49" w14:paraId="66C0CA58" w14:textId="77777777" w:rsidTr="00740D49">
        <w:tc>
          <w:tcPr>
            <w:tcW w:w="5395" w:type="dxa"/>
          </w:tcPr>
          <w:p w14:paraId="112FF01A" w14:textId="77777777" w:rsidR="00C05D56" w:rsidRDefault="00740D49" w:rsidP="008B2C40">
            <w:pPr>
              <w:rPr>
                <w:rFonts w:ascii="Helvetica" w:hAnsi="Helvetica" w:cs="Helvetica"/>
                <w:color w:val="262629"/>
                <w:sz w:val="21"/>
                <w:szCs w:val="21"/>
                <w:shd w:val="clear" w:color="auto" w:fill="FFFFFF"/>
              </w:rPr>
            </w:pPr>
            <w:r>
              <w:rPr>
                <w:rFonts w:ascii="Helvetica" w:hAnsi="Helvetica" w:cs="Helvetica"/>
                <w:color w:val="262629"/>
                <w:sz w:val="21"/>
                <w:szCs w:val="21"/>
                <w:shd w:val="clear" w:color="auto" w:fill="FFFFFF"/>
              </w:rPr>
              <w:t xml:space="preserve">Measuring more than five feet tall and ten feet long, the Javan rhinoceros is often called the rarest large mammal on earth. Though the habitat of the Javan rhino once extended across southern Asia, now there are fewer than one hundred of the animals in Indonesia and fewer than a dozen in Vietnam. The decline of the species may have progressed too far to be reversed. For centuries, farmers who wished to cultivate the rhino’s habitat viewed the animals as crop-eating pests and shot them on sight; during the colonial period, hunters slaughtered thousands for their horns, as poachers still do today. The surviving Vietnamese herd has diminished to the point that it can no longer maintain the genetic variation necessary for long-term survival. </w:t>
            </w:r>
          </w:p>
          <w:p w14:paraId="28F38B28" w14:textId="7423819A" w:rsidR="00740D49" w:rsidRDefault="00740D49" w:rsidP="008B2C40">
            <w:pPr>
              <w:rPr>
                <w:rFonts w:ascii="Arial" w:eastAsia="Times New Roman" w:hAnsi="Arial" w:cs="Arial"/>
                <w:color w:val="000000"/>
                <w:sz w:val="24"/>
                <w:szCs w:val="24"/>
              </w:rPr>
            </w:pPr>
            <w:r>
              <w:rPr>
                <w:rFonts w:ascii="Helvetica" w:hAnsi="Helvetica" w:cs="Helvetica"/>
                <w:color w:val="262629"/>
                <w:sz w:val="21"/>
                <w:szCs w:val="21"/>
                <w:shd w:val="clear" w:color="auto" w:fill="FFFFFF"/>
              </w:rPr>
              <w:t xml:space="preserve">The Indonesian herd cannot be used to supplement the Vietnamese population because, in the millions of years since Indonesia separated from the mainland, the two groups have evolved into separate sub-species. The Indonesian rhinos are protected on the Ujung </w:t>
            </w:r>
            <w:proofErr w:type="spellStart"/>
            <w:r>
              <w:rPr>
                <w:rFonts w:ascii="Helvetica" w:hAnsi="Helvetica" w:cs="Helvetica"/>
                <w:color w:val="262629"/>
                <w:sz w:val="21"/>
                <w:szCs w:val="21"/>
                <w:shd w:val="clear" w:color="auto" w:fill="FFFFFF"/>
              </w:rPr>
              <w:t>Kulon</w:t>
            </w:r>
            <w:proofErr w:type="spellEnd"/>
            <w:r>
              <w:rPr>
                <w:rFonts w:ascii="Helvetica" w:hAnsi="Helvetica" w:cs="Helvetica"/>
                <w:color w:val="262629"/>
                <w:sz w:val="21"/>
                <w:szCs w:val="21"/>
                <w:shd w:val="clear" w:color="auto" w:fill="FFFFFF"/>
              </w:rPr>
              <w:t xml:space="preserve"> peninsula, which is unsettled by humans, and still thought to have sufficient genetic diversity to survive. The lack of human disturbance, however, allows mature forests to replace the shrubby vegetation preferred by the animals. Human benevolence may prove little better for these rhinos than past human maltreatment.</w:t>
            </w:r>
          </w:p>
        </w:tc>
        <w:tc>
          <w:tcPr>
            <w:tcW w:w="5395" w:type="dxa"/>
          </w:tcPr>
          <w:p w14:paraId="5C734B90" w14:textId="77777777" w:rsidR="00740D49" w:rsidRPr="003A3869" w:rsidRDefault="00740D49" w:rsidP="00740D49">
            <w:pPr>
              <w:rPr>
                <w:rFonts w:ascii="Arial" w:eastAsia="Times New Roman" w:hAnsi="Arial" w:cs="Arial"/>
                <w:color w:val="FF0000"/>
                <w:sz w:val="20"/>
                <w:szCs w:val="24"/>
              </w:rPr>
            </w:pPr>
            <w:r w:rsidRPr="003A3869">
              <w:rPr>
                <w:rFonts w:ascii="Arial" w:eastAsia="Times New Roman" w:hAnsi="Arial" w:cs="Arial"/>
                <w:color w:val="000000"/>
                <w:sz w:val="20"/>
                <w:szCs w:val="24"/>
              </w:rPr>
              <w:t>For what purpose does the author include the last sentence of the passage?</w:t>
            </w:r>
          </w:p>
          <w:p w14:paraId="4E26B53E" w14:textId="77777777" w:rsidR="00740D49" w:rsidRPr="003A3869" w:rsidRDefault="00740D49" w:rsidP="00740D49">
            <w:pPr>
              <w:pStyle w:val="ListParagraph"/>
              <w:numPr>
                <w:ilvl w:val="0"/>
                <w:numId w:val="7"/>
              </w:numPr>
              <w:rPr>
                <w:rFonts w:ascii="Arial" w:eastAsia="Times New Roman" w:hAnsi="Arial" w:cs="Arial"/>
                <w:sz w:val="20"/>
                <w:szCs w:val="24"/>
              </w:rPr>
            </w:pPr>
            <w:r w:rsidRPr="003A3869">
              <w:rPr>
                <w:rFonts w:ascii="Arial" w:eastAsia="Times New Roman" w:hAnsi="Arial" w:cs="Arial"/>
                <w:sz w:val="20"/>
                <w:szCs w:val="24"/>
              </w:rPr>
              <w:t>To demonstrate that the Indonesian herd has better odds of surviving than the Vietnamese herd.</w:t>
            </w:r>
          </w:p>
          <w:p w14:paraId="3E03F4E0" w14:textId="77777777" w:rsidR="00740D49" w:rsidRPr="003A3869" w:rsidRDefault="00740D49" w:rsidP="00740D49">
            <w:pPr>
              <w:pStyle w:val="ListParagraph"/>
              <w:numPr>
                <w:ilvl w:val="0"/>
                <w:numId w:val="7"/>
              </w:numPr>
              <w:rPr>
                <w:rFonts w:ascii="Arial" w:eastAsia="Times New Roman" w:hAnsi="Arial" w:cs="Arial"/>
                <w:color w:val="FF0000"/>
                <w:sz w:val="20"/>
                <w:szCs w:val="24"/>
              </w:rPr>
            </w:pPr>
            <w:r w:rsidRPr="003A3869">
              <w:rPr>
                <w:rFonts w:ascii="Arial" w:eastAsia="Times New Roman" w:hAnsi="Arial" w:cs="Arial"/>
                <w:b/>
                <w:bCs/>
                <w:color w:val="538135" w:themeColor="accent6" w:themeShade="BF"/>
                <w:sz w:val="20"/>
                <w:szCs w:val="24"/>
              </w:rPr>
              <w:t>To support the contention that the Javan rhino species may not be able to recover from its current state.</w:t>
            </w:r>
          </w:p>
          <w:p w14:paraId="38D5F7B0" w14:textId="77777777" w:rsidR="00740D49" w:rsidRPr="003A3869" w:rsidRDefault="00740D49" w:rsidP="00740D49">
            <w:pPr>
              <w:pStyle w:val="ListParagraph"/>
              <w:numPr>
                <w:ilvl w:val="0"/>
                <w:numId w:val="7"/>
              </w:numPr>
              <w:rPr>
                <w:rFonts w:ascii="Arial" w:eastAsia="Times New Roman" w:hAnsi="Arial" w:cs="Arial"/>
                <w:sz w:val="20"/>
                <w:szCs w:val="24"/>
              </w:rPr>
            </w:pPr>
            <w:r w:rsidRPr="003A3869">
              <w:rPr>
                <w:rFonts w:ascii="Arial" w:eastAsia="Times New Roman" w:hAnsi="Arial" w:cs="Arial"/>
                <w:sz w:val="20"/>
                <w:szCs w:val="24"/>
              </w:rPr>
              <w:t xml:space="preserve">To establish that farmers and hunters are no longer killing Javan rhinos. </w:t>
            </w:r>
          </w:p>
          <w:p w14:paraId="038BEB44" w14:textId="77777777" w:rsidR="00740D49" w:rsidRPr="003A3869" w:rsidRDefault="00740D49" w:rsidP="00740D49">
            <w:pPr>
              <w:pStyle w:val="ListParagraph"/>
              <w:numPr>
                <w:ilvl w:val="0"/>
                <w:numId w:val="7"/>
              </w:numPr>
              <w:rPr>
                <w:rFonts w:ascii="Arial" w:eastAsia="Times New Roman" w:hAnsi="Arial" w:cs="Arial"/>
                <w:sz w:val="20"/>
                <w:szCs w:val="24"/>
              </w:rPr>
            </w:pPr>
            <w:r w:rsidRPr="003A3869">
              <w:rPr>
                <w:rFonts w:ascii="Arial" w:eastAsia="Times New Roman" w:hAnsi="Arial" w:cs="Arial"/>
                <w:sz w:val="20"/>
                <w:szCs w:val="24"/>
              </w:rPr>
              <w:t>To reinforce the idea that the Indonesian herd of the Javan rhino species will not survive.</w:t>
            </w:r>
          </w:p>
          <w:p w14:paraId="29CD3864" w14:textId="77777777" w:rsidR="00740D49" w:rsidRPr="003A3869" w:rsidRDefault="00740D49" w:rsidP="00740D49">
            <w:pPr>
              <w:pStyle w:val="ListParagraph"/>
              <w:numPr>
                <w:ilvl w:val="0"/>
                <w:numId w:val="7"/>
              </w:numPr>
              <w:rPr>
                <w:rFonts w:ascii="Arial" w:eastAsia="Times New Roman" w:hAnsi="Arial" w:cs="Arial"/>
                <w:color w:val="FF0000"/>
                <w:sz w:val="20"/>
                <w:szCs w:val="24"/>
              </w:rPr>
            </w:pPr>
            <w:r w:rsidRPr="003A3869">
              <w:rPr>
                <w:rFonts w:ascii="Arial" w:eastAsia="Times New Roman" w:hAnsi="Arial" w:cs="Arial"/>
                <w:color w:val="FF0000"/>
                <w:sz w:val="20"/>
                <w:szCs w:val="24"/>
              </w:rPr>
              <w:t>To illustrate that human benevolence can be just as detrimental to the survival of a species as can human maltreatment.</w:t>
            </w:r>
          </w:p>
          <w:p w14:paraId="40F92002" w14:textId="22EF5D9B" w:rsidR="00740D49" w:rsidRPr="008527A2" w:rsidRDefault="00740D49" w:rsidP="000E60B4">
            <w:pPr>
              <w:rPr>
                <w:rFonts w:ascii="Arial" w:eastAsia="Times New Roman" w:hAnsi="Arial" w:cs="Arial"/>
                <w:i/>
                <w:color w:val="000000"/>
                <w:sz w:val="20"/>
                <w:szCs w:val="24"/>
              </w:rPr>
            </w:pPr>
            <w:r>
              <w:rPr>
                <w:rFonts w:ascii="Arial" w:eastAsia="Times New Roman" w:hAnsi="Arial" w:cs="Arial"/>
                <w:i/>
                <w:color w:val="000000"/>
                <w:sz w:val="20"/>
                <w:szCs w:val="24"/>
              </w:rPr>
              <w:t xml:space="preserve">E is general info that is correct, but not the </w:t>
            </w:r>
            <w:r w:rsidR="00393C40">
              <w:rPr>
                <w:rFonts w:ascii="Arial" w:eastAsia="Times New Roman" w:hAnsi="Arial" w:cs="Arial"/>
                <w:i/>
                <w:color w:val="000000"/>
                <w:sz w:val="20"/>
                <w:szCs w:val="24"/>
              </w:rPr>
              <w:t>PURPOSE</w:t>
            </w:r>
            <w:r>
              <w:rPr>
                <w:rFonts w:ascii="Arial" w:eastAsia="Times New Roman" w:hAnsi="Arial" w:cs="Arial"/>
                <w:i/>
                <w:color w:val="000000"/>
                <w:sz w:val="20"/>
                <w:szCs w:val="24"/>
              </w:rPr>
              <w:t xml:space="preserve"> the author included it</w:t>
            </w:r>
            <w:r w:rsidR="005A0656">
              <w:rPr>
                <w:rFonts w:ascii="Arial" w:eastAsia="Times New Roman" w:hAnsi="Arial" w:cs="Arial"/>
                <w:i/>
                <w:color w:val="000000"/>
                <w:sz w:val="20"/>
                <w:szCs w:val="24"/>
              </w:rPr>
              <w:t xml:space="preserve">. Trap question </w:t>
            </w:r>
            <w:proofErr w:type="spellStart"/>
            <w:r w:rsidR="005A0656">
              <w:rPr>
                <w:rFonts w:ascii="Arial" w:eastAsia="Times New Roman" w:hAnsi="Arial" w:cs="Arial"/>
                <w:i/>
                <w:color w:val="000000"/>
                <w:sz w:val="20"/>
                <w:szCs w:val="24"/>
              </w:rPr>
              <w:t>bc</w:t>
            </w:r>
            <w:proofErr w:type="spellEnd"/>
            <w:r w:rsidR="005A0656">
              <w:rPr>
                <w:rFonts w:ascii="Arial" w:eastAsia="Times New Roman" w:hAnsi="Arial" w:cs="Arial"/>
                <w:i/>
                <w:color w:val="000000"/>
                <w:sz w:val="20"/>
                <w:szCs w:val="24"/>
              </w:rPr>
              <w:t xml:space="preserve"> of similar wording.</w:t>
            </w:r>
          </w:p>
          <w:p w14:paraId="222E56B3" w14:textId="77777777" w:rsidR="00740D49" w:rsidRDefault="00740D49" w:rsidP="008B2C40">
            <w:pPr>
              <w:rPr>
                <w:rFonts w:ascii="Arial" w:eastAsia="Times New Roman" w:hAnsi="Arial" w:cs="Arial"/>
                <w:color w:val="000000"/>
                <w:sz w:val="24"/>
                <w:szCs w:val="24"/>
              </w:rPr>
            </w:pPr>
          </w:p>
        </w:tc>
      </w:tr>
    </w:tbl>
    <w:p w14:paraId="5579526F" w14:textId="77777777" w:rsidR="008527A2" w:rsidRPr="003A3869" w:rsidRDefault="008527A2" w:rsidP="008B2C40">
      <w:pPr>
        <w:spacing w:after="0" w:line="240" w:lineRule="auto"/>
        <w:rPr>
          <w:rFonts w:ascii="Arial" w:eastAsia="Times New Roman" w:hAnsi="Arial" w:cs="Arial"/>
          <w:color w:val="000000"/>
          <w:sz w:val="20"/>
          <w:szCs w:val="24"/>
        </w:rPr>
      </w:pPr>
    </w:p>
    <w:p w14:paraId="55F3F6C5" w14:textId="77777777" w:rsidR="00407E2C" w:rsidRPr="008D0C21" w:rsidRDefault="00407E2C">
      <w:pPr>
        <w:rPr>
          <w:color w:val="538135" w:themeColor="accent6" w:themeShade="BF"/>
          <w:sz w:val="20"/>
          <w:szCs w:val="20"/>
        </w:rPr>
      </w:pPr>
    </w:p>
    <w:sectPr w:rsidR="00407E2C" w:rsidRPr="008D0C21" w:rsidSect="00CD78B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54BF"/>
    <w:multiLevelType w:val="hybridMultilevel"/>
    <w:tmpl w:val="C5C4A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253F1"/>
    <w:multiLevelType w:val="hybridMultilevel"/>
    <w:tmpl w:val="B96E6A04"/>
    <w:lvl w:ilvl="0" w:tplc="9008211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655CA"/>
    <w:multiLevelType w:val="hybridMultilevel"/>
    <w:tmpl w:val="CD5E3B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F11950"/>
    <w:multiLevelType w:val="hybridMultilevel"/>
    <w:tmpl w:val="9914FE7E"/>
    <w:lvl w:ilvl="0" w:tplc="9F84150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5867A6"/>
    <w:multiLevelType w:val="hybridMultilevel"/>
    <w:tmpl w:val="521A3C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C2595C"/>
    <w:multiLevelType w:val="hybridMultilevel"/>
    <w:tmpl w:val="BEE4EA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C46BC"/>
    <w:multiLevelType w:val="hybridMultilevel"/>
    <w:tmpl w:val="B8B20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874D61"/>
    <w:multiLevelType w:val="hybridMultilevel"/>
    <w:tmpl w:val="70585B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C212E5"/>
    <w:multiLevelType w:val="hybridMultilevel"/>
    <w:tmpl w:val="3508E2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5630D8"/>
    <w:multiLevelType w:val="hybridMultilevel"/>
    <w:tmpl w:val="096A7CB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793FF7"/>
    <w:multiLevelType w:val="hybridMultilevel"/>
    <w:tmpl w:val="6ED68BCE"/>
    <w:lvl w:ilvl="0" w:tplc="8B302D3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9F2FDD"/>
    <w:multiLevelType w:val="hybridMultilevel"/>
    <w:tmpl w:val="73E21902"/>
    <w:lvl w:ilvl="0" w:tplc="92EE1AB2">
      <w:start w:val="9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72848"/>
    <w:multiLevelType w:val="hybridMultilevel"/>
    <w:tmpl w:val="14B0E67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792EFD"/>
    <w:multiLevelType w:val="hybridMultilevel"/>
    <w:tmpl w:val="D30E67F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FC6982"/>
    <w:multiLevelType w:val="hybridMultilevel"/>
    <w:tmpl w:val="D3BEC68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A372AE"/>
    <w:multiLevelType w:val="hybridMultilevel"/>
    <w:tmpl w:val="8F704E68"/>
    <w:lvl w:ilvl="0" w:tplc="2822F982">
      <w:start w:val="1"/>
      <w:numFmt w:val="bullet"/>
      <w:lvlText w:val="-"/>
      <w:lvlJc w:val="left"/>
      <w:pPr>
        <w:ind w:left="720" w:hanging="360"/>
      </w:pPr>
      <w:rPr>
        <w:rFonts w:ascii="Calibri" w:eastAsiaTheme="minorEastAsia" w:hAnsi="Calibri" w:cs="Calibri" w:hint="default"/>
        <w:color w:val="auto"/>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6"/>
  </w:num>
  <w:num w:numId="5">
    <w:abstractNumId w:val="4"/>
  </w:num>
  <w:num w:numId="6">
    <w:abstractNumId w:val="0"/>
  </w:num>
  <w:num w:numId="7">
    <w:abstractNumId w:val="7"/>
  </w:num>
  <w:num w:numId="8">
    <w:abstractNumId w:val="1"/>
  </w:num>
  <w:num w:numId="9">
    <w:abstractNumId w:val="13"/>
  </w:num>
  <w:num w:numId="10">
    <w:abstractNumId w:val="14"/>
  </w:num>
  <w:num w:numId="11">
    <w:abstractNumId w:val="12"/>
  </w:num>
  <w:num w:numId="12">
    <w:abstractNumId w:val="9"/>
  </w:num>
  <w:num w:numId="13">
    <w:abstractNumId w:val="3"/>
  </w:num>
  <w:num w:numId="14">
    <w:abstractNumId w:val="15"/>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B07"/>
    <w:rsid w:val="00001372"/>
    <w:rsid w:val="0004385F"/>
    <w:rsid w:val="00054D91"/>
    <w:rsid w:val="00070EF7"/>
    <w:rsid w:val="000935D5"/>
    <w:rsid w:val="000973B2"/>
    <w:rsid w:val="000A1A9D"/>
    <w:rsid w:val="000A46D7"/>
    <w:rsid w:val="000A588C"/>
    <w:rsid w:val="000A67D5"/>
    <w:rsid w:val="000C3653"/>
    <w:rsid w:val="000D2B08"/>
    <w:rsid w:val="000D4AE3"/>
    <w:rsid w:val="000E1D72"/>
    <w:rsid w:val="000E60B4"/>
    <w:rsid w:val="000F023E"/>
    <w:rsid w:val="000F7446"/>
    <w:rsid w:val="00116245"/>
    <w:rsid w:val="00125C37"/>
    <w:rsid w:val="00157E3F"/>
    <w:rsid w:val="0018515C"/>
    <w:rsid w:val="001938C7"/>
    <w:rsid w:val="001A14F4"/>
    <w:rsid w:val="001B60B3"/>
    <w:rsid w:val="001C5AFE"/>
    <w:rsid w:val="001F034B"/>
    <w:rsid w:val="002269E3"/>
    <w:rsid w:val="00227B42"/>
    <w:rsid w:val="0023236D"/>
    <w:rsid w:val="00267F86"/>
    <w:rsid w:val="0029161B"/>
    <w:rsid w:val="002F3CE7"/>
    <w:rsid w:val="003045A1"/>
    <w:rsid w:val="003130B4"/>
    <w:rsid w:val="003304F8"/>
    <w:rsid w:val="00335C5A"/>
    <w:rsid w:val="00340C1F"/>
    <w:rsid w:val="00344061"/>
    <w:rsid w:val="00346C3F"/>
    <w:rsid w:val="003610B4"/>
    <w:rsid w:val="00382BA0"/>
    <w:rsid w:val="00382E11"/>
    <w:rsid w:val="00393C40"/>
    <w:rsid w:val="003A3869"/>
    <w:rsid w:val="004074D3"/>
    <w:rsid w:val="00407E2C"/>
    <w:rsid w:val="00424CAF"/>
    <w:rsid w:val="0045380F"/>
    <w:rsid w:val="00466B32"/>
    <w:rsid w:val="004873BC"/>
    <w:rsid w:val="004B6A64"/>
    <w:rsid w:val="004C72C3"/>
    <w:rsid w:val="005245E9"/>
    <w:rsid w:val="00534B60"/>
    <w:rsid w:val="00542EE2"/>
    <w:rsid w:val="005476BD"/>
    <w:rsid w:val="005516AF"/>
    <w:rsid w:val="00566062"/>
    <w:rsid w:val="005673AE"/>
    <w:rsid w:val="00583081"/>
    <w:rsid w:val="005A0656"/>
    <w:rsid w:val="005A3002"/>
    <w:rsid w:val="005B50E6"/>
    <w:rsid w:val="005D4F15"/>
    <w:rsid w:val="005F04A3"/>
    <w:rsid w:val="005F2F80"/>
    <w:rsid w:val="00601F98"/>
    <w:rsid w:val="00610333"/>
    <w:rsid w:val="00611A61"/>
    <w:rsid w:val="00621147"/>
    <w:rsid w:val="00623B8D"/>
    <w:rsid w:val="00645F59"/>
    <w:rsid w:val="0065131D"/>
    <w:rsid w:val="00670388"/>
    <w:rsid w:val="006A3AE9"/>
    <w:rsid w:val="006B6852"/>
    <w:rsid w:val="006C75C1"/>
    <w:rsid w:val="00740BB9"/>
    <w:rsid w:val="00740D49"/>
    <w:rsid w:val="00755999"/>
    <w:rsid w:val="0077562B"/>
    <w:rsid w:val="007916D7"/>
    <w:rsid w:val="007A260D"/>
    <w:rsid w:val="007B0BE0"/>
    <w:rsid w:val="007B6EFD"/>
    <w:rsid w:val="007C2895"/>
    <w:rsid w:val="007C32C1"/>
    <w:rsid w:val="007C53FB"/>
    <w:rsid w:val="007E5B63"/>
    <w:rsid w:val="008079CA"/>
    <w:rsid w:val="00807CDD"/>
    <w:rsid w:val="008249A1"/>
    <w:rsid w:val="00833529"/>
    <w:rsid w:val="008527A2"/>
    <w:rsid w:val="008578B8"/>
    <w:rsid w:val="008724CD"/>
    <w:rsid w:val="00875CCB"/>
    <w:rsid w:val="008873DE"/>
    <w:rsid w:val="008B2C40"/>
    <w:rsid w:val="008B4A13"/>
    <w:rsid w:val="008C4BB3"/>
    <w:rsid w:val="008D0C21"/>
    <w:rsid w:val="008D6DD2"/>
    <w:rsid w:val="008E2A29"/>
    <w:rsid w:val="008F728E"/>
    <w:rsid w:val="008F7B4C"/>
    <w:rsid w:val="0090309B"/>
    <w:rsid w:val="00916305"/>
    <w:rsid w:val="00941DDB"/>
    <w:rsid w:val="00945A75"/>
    <w:rsid w:val="00971228"/>
    <w:rsid w:val="0099190B"/>
    <w:rsid w:val="009A091D"/>
    <w:rsid w:val="009C66FB"/>
    <w:rsid w:val="009D7880"/>
    <w:rsid w:val="00A03709"/>
    <w:rsid w:val="00A16B2E"/>
    <w:rsid w:val="00A26E8D"/>
    <w:rsid w:val="00A30BE4"/>
    <w:rsid w:val="00A479FD"/>
    <w:rsid w:val="00A64438"/>
    <w:rsid w:val="00A835F7"/>
    <w:rsid w:val="00A95883"/>
    <w:rsid w:val="00AB1B07"/>
    <w:rsid w:val="00AB3FED"/>
    <w:rsid w:val="00AB4C9F"/>
    <w:rsid w:val="00AC4806"/>
    <w:rsid w:val="00AE6F9D"/>
    <w:rsid w:val="00B0064B"/>
    <w:rsid w:val="00B00907"/>
    <w:rsid w:val="00B46C25"/>
    <w:rsid w:val="00B72AC2"/>
    <w:rsid w:val="00B75C06"/>
    <w:rsid w:val="00BA23E7"/>
    <w:rsid w:val="00BB4B20"/>
    <w:rsid w:val="00BC389A"/>
    <w:rsid w:val="00C05D56"/>
    <w:rsid w:val="00C27513"/>
    <w:rsid w:val="00C363CD"/>
    <w:rsid w:val="00C513C4"/>
    <w:rsid w:val="00C662E3"/>
    <w:rsid w:val="00C679D6"/>
    <w:rsid w:val="00C928DB"/>
    <w:rsid w:val="00CA6C22"/>
    <w:rsid w:val="00CB1E9D"/>
    <w:rsid w:val="00CD6298"/>
    <w:rsid w:val="00CD78B3"/>
    <w:rsid w:val="00CE519B"/>
    <w:rsid w:val="00D03313"/>
    <w:rsid w:val="00D36E40"/>
    <w:rsid w:val="00D45FC1"/>
    <w:rsid w:val="00D46EC8"/>
    <w:rsid w:val="00D66219"/>
    <w:rsid w:val="00D708CF"/>
    <w:rsid w:val="00D71E50"/>
    <w:rsid w:val="00D73767"/>
    <w:rsid w:val="00DC491E"/>
    <w:rsid w:val="00DD481B"/>
    <w:rsid w:val="00DE5BAB"/>
    <w:rsid w:val="00E008E7"/>
    <w:rsid w:val="00E161A4"/>
    <w:rsid w:val="00E1779E"/>
    <w:rsid w:val="00E232FE"/>
    <w:rsid w:val="00E376EC"/>
    <w:rsid w:val="00E574ED"/>
    <w:rsid w:val="00E75DCF"/>
    <w:rsid w:val="00E91AA9"/>
    <w:rsid w:val="00E97100"/>
    <w:rsid w:val="00ED60BE"/>
    <w:rsid w:val="00ED726B"/>
    <w:rsid w:val="00EE71FC"/>
    <w:rsid w:val="00EF5069"/>
    <w:rsid w:val="00F0546D"/>
    <w:rsid w:val="00F103EB"/>
    <w:rsid w:val="00F14474"/>
    <w:rsid w:val="00F1774C"/>
    <w:rsid w:val="00F23CC3"/>
    <w:rsid w:val="00F40004"/>
    <w:rsid w:val="00F41069"/>
    <w:rsid w:val="00F41766"/>
    <w:rsid w:val="00F53324"/>
    <w:rsid w:val="00F7327F"/>
    <w:rsid w:val="00F73874"/>
    <w:rsid w:val="00F77E36"/>
    <w:rsid w:val="00F81F89"/>
    <w:rsid w:val="00FA3538"/>
    <w:rsid w:val="00FA6159"/>
    <w:rsid w:val="00FB579D"/>
    <w:rsid w:val="00FD7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427D3"/>
  <w15:chartTrackingRefBased/>
  <w15:docId w15:val="{7B4699B2-9DEB-4333-AA05-326A57F96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4F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73767"/>
    <w:pPr>
      <w:ind w:left="720"/>
      <w:contextualSpacing/>
    </w:pPr>
  </w:style>
  <w:style w:type="table" w:styleId="TableGrid">
    <w:name w:val="Table Grid"/>
    <w:basedOn w:val="TableNormal"/>
    <w:uiPriority w:val="39"/>
    <w:rsid w:val="002F3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538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2184">
      <w:bodyDiv w:val="1"/>
      <w:marLeft w:val="0"/>
      <w:marRight w:val="0"/>
      <w:marTop w:val="0"/>
      <w:marBottom w:val="0"/>
      <w:divBdr>
        <w:top w:val="none" w:sz="0" w:space="0" w:color="auto"/>
        <w:left w:val="none" w:sz="0" w:space="0" w:color="auto"/>
        <w:bottom w:val="none" w:sz="0" w:space="0" w:color="auto"/>
        <w:right w:val="none" w:sz="0" w:space="0" w:color="auto"/>
      </w:divBdr>
    </w:div>
    <w:div w:id="279915874">
      <w:bodyDiv w:val="1"/>
      <w:marLeft w:val="0"/>
      <w:marRight w:val="0"/>
      <w:marTop w:val="0"/>
      <w:marBottom w:val="0"/>
      <w:divBdr>
        <w:top w:val="none" w:sz="0" w:space="0" w:color="auto"/>
        <w:left w:val="none" w:sz="0" w:space="0" w:color="auto"/>
        <w:bottom w:val="none" w:sz="0" w:space="0" w:color="auto"/>
        <w:right w:val="none" w:sz="0" w:space="0" w:color="auto"/>
      </w:divBdr>
    </w:div>
    <w:div w:id="428159717">
      <w:bodyDiv w:val="1"/>
      <w:marLeft w:val="0"/>
      <w:marRight w:val="0"/>
      <w:marTop w:val="0"/>
      <w:marBottom w:val="0"/>
      <w:divBdr>
        <w:top w:val="none" w:sz="0" w:space="0" w:color="auto"/>
        <w:left w:val="none" w:sz="0" w:space="0" w:color="auto"/>
        <w:bottom w:val="none" w:sz="0" w:space="0" w:color="auto"/>
        <w:right w:val="none" w:sz="0" w:space="0" w:color="auto"/>
      </w:divBdr>
    </w:div>
    <w:div w:id="755252604">
      <w:bodyDiv w:val="1"/>
      <w:marLeft w:val="0"/>
      <w:marRight w:val="0"/>
      <w:marTop w:val="0"/>
      <w:marBottom w:val="0"/>
      <w:divBdr>
        <w:top w:val="none" w:sz="0" w:space="0" w:color="auto"/>
        <w:left w:val="none" w:sz="0" w:space="0" w:color="auto"/>
        <w:bottom w:val="none" w:sz="0" w:space="0" w:color="auto"/>
        <w:right w:val="none" w:sz="0" w:space="0" w:color="auto"/>
      </w:divBdr>
    </w:div>
    <w:div w:id="760639898">
      <w:bodyDiv w:val="1"/>
      <w:marLeft w:val="0"/>
      <w:marRight w:val="0"/>
      <w:marTop w:val="0"/>
      <w:marBottom w:val="0"/>
      <w:divBdr>
        <w:top w:val="none" w:sz="0" w:space="0" w:color="auto"/>
        <w:left w:val="none" w:sz="0" w:space="0" w:color="auto"/>
        <w:bottom w:val="none" w:sz="0" w:space="0" w:color="auto"/>
        <w:right w:val="none" w:sz="0" w:space="0" w:color="auto"/>
      </w:divBdr>
    </w:div>
    <w:div w:id="838696516">
      <w:bodyDiv w:val="1"/>
      <w:marLeft w:val="0"/>
      <w:marRight w:val="0"/>
      <w:marTop w:val="0"/>
      <w:marBottom w:val="0"/>
      <w:divBdr>
        <w:top w:val="none" w:sz="0" w:space="0" w:color="auto"/>
        <w:left w:val="none" w:sz="0" w:space="0" w:color="auto"/>
        <w:bottom w:val="none" w:sz="0" w:space="0" w:color="auto"/>
        <w:right w:val="none" w:sz="0" w:space="0" w:color="auto"/>
      </w:divBdr>
    </w:div>
    <w:div w:id="852108870">
      <w:bodyDiv w:val="1"/>
      <w:marLeft w:val="0"/>
      <w:marRight w:val="0"/>
      <w:marTop w:val="0"/>
      <w:marBottom w:val="0"/>
      <w:divBdr>
        <w:top w:val="none" w:sz="0" w:space="0" w:color="auto"/>
        <w:left w:val="none" w:sz="0" w:space="0" w:color="auto"/>
        <w:bottom w:val="none" w:sz="0" w:space="0" w:color="auto"/>
        <w:right w:val="none" w:sz="0" w:space="0" w:color="auto"/>
      </w:divBdr>
    </w:div>
    <w:div w:id="900944702">
      <w:bodyDiv w:val="1"/>
      <w:marLeft w:val="0"/>
      <w:marRight w:val="0"/>
      <w:marTop w:val="0"/>
      <w:marBottom w:val="0"/>
      <w:divBdr>
        <w:top w:val="none" w:sz="0" w:space="0" w:color="auto"/>
        <w:left w:val="none" w:sz="0" w:space="0" w:color="auto"/>
        <w:bottom w:val="none" w:sz="0" w:space="0" w:color="auto"/>
        <w:right w:val="none" w:sz="0" w:space="0" w:color="auto"/>
      </w:divBdr>
    </w:div>
    <w:div w:id="1028144550">
      <w:bodyDiv w:val="1"/>
      <w:marLeft w:val="0"/>
      <w:marRight w:val="0"/>
      <w:marTop w:val="0"/>
      <w:marBottom w:val="0"/>
      <w:divBdr>
        <w:top w:val="none" w:sz="0" w:space="0" w:color="auto"/>
        <w:left w:val="none" w:sz="0" w:space="0" w:color="auto"/>
        <w:bottom w:val="none" w:sz="0" w:space="0" w:color="auto"/>
        <w:right w:val="none" w:sz="0" w:space="0" w:color="auto"/>
      </w:divBdr>
    </w:div>
    <w:div w:id="1055280785">
      <w:bodyDiv w:val="1"/>
      <w:marLeft w:val="0"/>
      <w:marRight w:val="0"/>
      <w:marTop w:val="0"/>
      <w:marBottom w:val="0"/>
      <w:divBdr>
        <w:top w:val="none" w:sz="0" w:space="0" w:color="auto"/>
        <w:left w:val="none" w:sz="0" w:space="0" w:color="auto"/>
        <w:bottom w:val="none" w:sz="0" w:space="0" w:color="auto"/>
        <w:right w:val="none" w:sz="0" w:space="0" w:color="auto"/>
      </w:divBdr>
    </w:div>
    <w:div w:id="1140339606">
      <w:bodyDiv w:val="1"/>
      <w:marLeft w:val="0"/>
      <w:marRight w:val="0"/>
      <w:marTop w:val="0"/>
      <w:marBottom w:val="0"/>
      <w:divBdr>
        <w:top w:val="none" w:sz="0" w:space="0" w:color="auto"/>
        <w:left w:val="none" w:sz="0" w:space="0" w:color="auto"/>
        <w:bottom w:val="none" w:sz="0" w:space="0" w:color="auto"/>
        <w:right w:val="none" w:sz="0" w:space="0" w:color="auto"/>
      </w:divBdr>
    </w:div>
    <w:div w:id="1267498800">
      <w:bodyDiv w:val="1"/>
      <w:marLeft w:val="0"/>
      <w:marRight w:val="0"/>
      <w:marTop w:val="0"/>
      <w:marBottom w:val="0"/>
      <w:divBdr>
        <w:top w:val="none" w:sz="0" w:space="0" w:color="auto"/>
        <w:left w:val="none" w:sz="0" w:space="0" w:color="auto"/>
        <w:bottom w:val="none" w:sz="0" w:space="0" w:color="auto"/>
        <w:right w:val="none" w:sz="0" w:space="0" w:color="auto"/>
      </w:divBdr>
    </w:div>
    <w:div w:id="1310478042">
      <w:bodyDiv w:val="1"/>
      <w:marLeft w:val="0"/>
      <w:marRight w:val="0"/>
      <w:marTop w:val="0"/>
      <w:marBottom w:val="0"/>
      <w:divBdr>
        <w:top w:val="none" w:sz="0" w:space="0" w:color="auto"/>
        <w:left w:val="none" w:sz="0" w:space="0" w:color="auto"/>
        <w:bottom w:val="none" w:sz="0" w:space="0" w:color="auto"/>
        <w:right w:val="none" w:sz="0" w:space="0" w:color="auto"/>
      </w:divBdr>
    </w:div>
    <w:div w:id="1443264744">
      <w:bodyDiv w:val="1"/>
      <w:marLeft w:val="0"/>
      <w:marRight w:val="0"/>
      <w:marTop w:val="0"/>
      <w:marBottom w:val="0"/>
      <w:divBdr>
        <w:top w:val="none" w:sz="0" w:space="0" w:color="auto"/>
        <w:left w:val="none" w:sz="0" w:space="0" w:color="auto"/>
        <w:bottom w:val="none" w:sz="0" w:space="0" w:color="auto"/>
        <w:right w:val="none" w:sz="0" w:space="0" w:color="auto"/>
      </w:divBdr>
    </w:div>
    <w:div w:id="1543905441">
      <w:bodyDiv w:val="1"/>
      <w:marLeft w:val="0"/>
      <w:marRight w:val="0"/>
      <w:marTop w:val="0"/>
      <w:marBottom w:val="0"/>
      <w:divBdr>
        <w:top w:val="none" w:sz="0" w:space="0" w:color="auto"/>
        <w:left w:val="none" w:sz="0" w:space="0" w:color="auto"/>
        <w:bottom w:val="none" w:sz="0" w:space="0" w:color="auto"/>
        <w:right w:val="none" w:sz="0" w:space="0" w:color="auto"/>
      </w:divBdr>
    </w:div>
    <w:div w:id="1599941881">
      <w:bodyDiv w:val="1"/>
      <w:marLeft w:val="0"/>
      <w:marRight w:val="0"/>
      <w:marTop w:val="0"/>
      <w:marBottom w:val="0"/>
      <w:divBdr>
        <w:top w:val="none" w:sz="0" w:space="0" w:color="auto"/>
        <w:left w:val="none" w:sz="0" w:space="0" w:color="auto"/>
        <w:bottom w:val="none" w:sz="0" w:space="0" w:color="auto"/>
        <w:right w:val="none" w:sz="0" w:space="0" w:color="auto"/>
      </w:divBdr>
    </w:div>
    <w:div w:id="1848251799">
      <w:bodyDiv w:val="1"/>
      <w:marLeft w:val="0"/>
      <w:marRight w:val="0"/>
      <w:marTop w:val="0"/>
      <w:marBottom w:val="0"/>
      <w:divBdr>
        <w:top w:val="none" w:sz="0" w:space="0" w:color="auto"/>
        <w:left w:val="none" w:sz="0" w:space="0" w:color="auto"/>
        <w:bottom w:val="none" w:sz="0" w:space="0" w:color="auto"/>
        <w:right w:val="none" w:sz="0" w:space="0" w:color="auto"/>
      </w:divBdr>
    </w:div>
    <w:div w:id="1862237182">
      <w:bodyDiv w:val="1"/>
      <w:marLeft w:val="0"/>
      <w:marRight w:val="0"/>
      <w:marTop w:val="0"/>
      <w:marBottom w:val="0"/>
      <w:divBdr>
        <w:top w:val="none" w:sz="0" w:space="0" w:color="auto"/>
        <w:left w:val="none" w:sz="0" w:space="0" w:color="auto"/>
        <w:bottom w:val="none" w:sz="0" w:space="0" w:color="auto"/>
        <w:right w:val="none" w:sz="0" w:space="0" w:color="auto"/>
      </w:divBdr>
    </w:div>
    <w:div w:id="206610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862</Words>
  <Characters>4916</Characters>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2018-08-06T15:52:00Z</cp:lastPrinted>
  <dcterms:created xsi:type="dcterms:W3CDTF">2018-07-29T01:20:00Z</dcterms:created>
  <dcterms:modified xsi:type="dcterms:W3CDTF">2018-08-06T15:52:00Z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-110448397</vt:i4>
  </property>
</Properties>
</file>