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0" w:after="80"/>
      </w:pPr>
      <w:r>
        <w:rPr>
          <w:rFonts w:ascii="Gotham" w:cs="Gotham" w:eastAsia="Gotham" w:hAnsi="Gotham"/>
          <w:b/>
          <w:bCs/>
          <w:color w:val="16A34A"/>
          <w:sz w:val="20"/>
          <w:szCs w:val="20"/>
        </w:rPr>
        <w:t xml:space="preserve">crackverbal</w:t>
      </w:r>
    </w:p>
    <w:p>
      <w:pPr>
        <w:spacing w:before="120" w:after="60"/>
      </w:pPr>
      <w:r>
        <w:rPr>
          <w:rFonts w:ascii="Gotham" w:cs="Gotham" w:eastAsia="Gotham" w:hAnsi="Gotham"/>
          <w:b/>
          <w:bCs/>
          <w:color w:val="0F172A"/>
          <w:sz w:val="38"/>
          <w:szCs w:val="38"/>
        </w:rPr>
        <w:t xml:space="preserve">The Student Who Never Left a Question Half-Understood</w:t>
      </w:r>
    </w:p>
    <w:p>
      <w:pPr>
        <w:spacing w:before="0" w:after="60"/>
      </w:pPr>
      <w:r>
        <w:rPr>
          <w:rFonts w:ascii="Gotham" w:cs="Gotham" w:eastAsia="Gotham" w:hAnsi="Gotham"/>
          <w:b/>
          <w:bCs/>
          <w:color w:val="2563EB"/>
          <w:sz w:val="26"/>
          <w:szCs w:val="26"/>
        </w:rPr>
        <w:t xml:space="preserve">A 675 to 745 Prep Breakdown</w:t>
      </w:r>
    </w:p>
    <w:p>
      <w:pPr>
        <w:spacing w:before="0" w:after="240"/>
      </w:pPr>
      <w:r>
        <w:rPr>
          <w:rFonts w:ascii="Gotham" w:cs="Gotham" w:eastAsia="Gotham" w:hAnsi="Gotham"/>
          <w:i/>
          <w:iCs/>
          <w:color w:val="64748B"/>
          <w:sz w:val="22"/>
          <w:szCs w:val="22"/>
        </w:rPr>
        <w:t xml:space="preserve">— In Nithya's Own Words —</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tcW w:type="dxa" w:w="2340"/>
            <w:tcBorders>
              <w:top w:val="none"/>
              <w:left w:val="none"/>
              <w:bottom w:val="none"/>
              <w:right w:val="none"/>
            </w:tcBorders>
            <w:shd w:fill="0F172A" w:val="clear"/>
            <w:tcMar>
              <w:top w:type="dxa" w:w="100"/>
              <w:left w:type="dxa" w:w="150"/>
              <w:bottom w:type="dxa" w:w="100"/>
              <w:right w:type="dxa" w:w="150"/>
            </w:tcMar>
          </w:tcPr>
          <w:p>
            <w:pPr>
              <w:jc w:val="center"/>
            </w:pPr>
            <w:r>
              <w:rPr>
                <w:rFonts w:ascii="Gotham" w:cs="Gotham" w:eastAsia="Gotham" w:hAnsi="Gotham"/>
                <w:b/>
                <w:bCs/>
                <w:color w:val="FFFFFF"/>
                <w:sz w:val="20"/>
                <w:szCs w:val="20"/>
              </w:rPr>
              <w:t xml:space="preserve">SECTION</w:t>
            </w:r>
          </w:p>
        </w:tc>
        <w:tc>
          <w:tcPr>
            <w:tcW w:type="dxa" w:w="2340"/>
            <w:tcBorders>
              <w:top w:val="none"/>
              <w:left w:val="none"/>
              <w:bottom w:val="none"/>
              <w:right w:val="none"/>
            </w:tcBorders>
            <w:shd w:fill="0F172A" w:val="clear"/>
            <w:tcMar>
              <w:top w:type="dxa" w:w="100"/>
              <w:left w:type="dxa" w:w="150"/>
              <w:bottom w:type="dxa" w:w="100"/>
              <w:right w:type="dxa" w:w="150"/>
            </w:tcMar>
          </w:tcPr>
          <w:p>
            <w:pPr>
              <w:jc w:val="center"/>
            </w:pPr>
            <w:r>
              <w:rPr>
                <w:rFonts w:ascii="Gotham" w:cs="Gotham" w:eastAsia="Gotham" w:hAnsi="Gotham"/>
                <w:b/>
                <w:bCs/>
                <w:color w:val="FFFFFF"/>
                <w:sz w:val="20"/>
                <w:szCs w:val="20"/>
              </w:rPr>
              <w:t xml:space="preserve">SCORE</w:t>
            </w:r>
          </w:p>
        </w:tc>
        <w:tc>
          <w:tcPr>
            <w:tcW w:type="dxa" w:w="2340"/>
            <w:tcBorders>
              <w:top w:val="none"/>
              <w:left w:val="none"/>
              <w:bottom w:val="none"/>
              <w:right w:val="none"/>
            </w:tcBorders>
            <w:shd w:fill="0F172A" w:val="clear"/>
            <w:tcMar>
              <w:top w:type="dxa" w:w="100"/>
              <w:left w:type="dxa" w:w="150"/>
              <w:bottom w:type="dxa" w:w="100"/>
              <w:right w:type="dxa" w:w="150"/>
            </w:tcMar>
          </w:tcPr>
          <w:p>
            <w:pPr>
              <w:jc w:val="center"/>
            </w:pPr>
            <w:r>
              <w:rPr>
                <w:rFonts w:ascii="Gotham" w:cs="Gotham" w:eastAsia="Gotham" w:hAnsi="Gotham"/>
                <w:b/>
                <w:bCs/>
                <w:color w:val="FFFFFF"/>
                <w:sz w:val="20"/>
                <w:szCs w:val="20"/>
              </w:rPr>
              <w:t xml:space="preserve">START</w:t>
            </w:r>
          </w:p>
        </w:tc>
        <w:tc>
          <w:tcPr>
            <w:tcW w:type="dxa" w:w="2340"/>
            <w:tcBorders>
              <w:top w:val="none"/>
              <w:left w:val="none"/>
              <w:bottom w:val="none"/>
              <w:right w:val="none"/>
            </w:tcBorders>
            <w:shd w:fill="0F172A" w:val="clear"/>
            <w:tcMar>
              <w:top w:type="dxa" w:w="100"/>
              <w:left w:type="dxa" w:w="150"/>
              <w:bottom w:type="dxa" w:w="100"/>
              <w:right w:type="dxa" w:w="150"/>
            </w:tcMar>
          </w:tcPr>
          <w:p>
            <w:pPr>
              <w:jc w:val="center"/>
            </w:pPr>
            <w:r>
              <w:rPr>
                <w:rFonts w:ascii="Gotham" w:cs="Gotham" w:eastAsia="Gotham" w:hAnsi="Gotham"/>
                <w:b/>
                <w:bCs/>
                <w:color w:val="FFFFFF"/>
                <w:sz w:val="20"/>
                <w:szCs w:val="20"/>
              </w:rPr>
              <w:t xml:space="preserve">PERCENTILE</w:t>
            </w:r>
          </w:p>
        </w:tc>
      </w:tr>
      <w:tr>
        <w:tc>
          <w:tcPr>
            <w:tcW w:type="dxa" w:w="2340"/>
            <w:tcBorders>
              <w:top w:val="none"/>
              <w:left w:val="none"/>
              <w:bottom w:val="none"/>
              <w:right w:val="none"/>
            </w:tcBorders>
            <w:shd w:fill="F8FAFC" w:val="clear"/>
            <w:tcMar>
              <w:top w:type="dxa" w:w="100"/>
              <w:left w:type="dxa" w:w="150"/>
              <w:bottom w:type="dxa" w:w="100"/>
              <w:right w:type="dxa" w:w="150"/>
            </w:tcMar>
          </w:tcPr>
          <w:p>
            <w:pPr>
              <w:jc w:val="center"/>
            </w:pPr>
            <w:r>
              <w:rPr>
                <w:rFonts w:ascii="Gotham" w:cs="Gotham" w:eastAsia="Gotham" w:hAnsi="Gotham"/>
                <w:b w:val="false"/>
                <w:bCs w:val="false"/>
                <w:color w:val="0F172A"/>
                <w:sz w:val="21"/>
                <w:szCs w:val="21"/>
              </w:rPr>
              <w:t xml:space="preserve">Overall</w:t>
            </w:r>
          </w:p>
        </w:tc>
        <w:tc>
          <w:tcPr>
            <w:tcW w:type="dxa" w:w="2340"/>
            <w:tcBorders>
              <w:top w:val="none"/>
              <w:left w:val="none"/>
              <w:bottom w:val="none"/>
              <w:right w:val="none"/>
            </w:tcBorders>
            <w:shd w:fill="F0FDF4" w:val="clear"/>
            <w:tcMar>
              <w:top w:type="dxa" w:w="100"/>
              <w:left w:type="dxa" w:w="150"/>
              <w:bottom w:type="dxa" w:w="100"/>
              <w:right w:type="dxa" w:w="150"/>
            </w:tcMar>
          </w:tcPr>
          <w:p>
            <w:pPr>
              <w:jc w:val="center"/>
            </w:pPr>
            <w:r>
              <w:rPr>
                <w:rFonts w:ascii="Gotham" w:cs="Gotham" w:eastAsia="Gotham" w:hAnsi="Gotham"/>
                <w:b/>
                <w:bCs/>
                <w:color w:val="16A34A"/>
                <w:sz w:val="21"/>
                <w:szCs w:val="21"/>
              </w:rPr>
              <w:t xml:space="preserve">745</w:t>
            </w:r>
          </w:p>
        </w:tc>
        <w:tc>
          <w:tcPr>
            <w:tcW w:type="dxa" w:w="2340"/>
            <w:tcBorders>
              <w:top w:val="none"/>
              <w:left w:val="none"/>
              <w:bottom w:val="none"/>
              <w:right w:val="none"/>
            </w:tcBorders>
            <w:shd w:fill="F8FAFC" w:val="clear"/>
            <w:tcMar>
              <w:top w:type="dxa" w:w="100"/>
              <w:left w:type="dxa" w:w="150"/>
              <w:bottom w:type="dxa" w:w="100"/>
              <w:right w:type="dxa" w:w="150"/>
            </w:tcMar>
          </w:tcPr>
          <w:p>
            <w:pPr>
              <w:jc w:val="center"/>
            </w:pPr>
            <w:r>
              <w:rPr>
                <w:rFonts w:ascii="Gotham" w:cs="Gotham" w:eastAsia="Gotham" w:hAnsi="Gotham"/>
                <w:b w:val="false"/>
                <w:bCs w:val="false"/>
                <w:color w:val="0F172A"/>
                <w:sz w:val="21"/>
                <w:szCs w:val="21"/>
              </w:rPr>
              <w:t xml:space="preserve">675</w:t>
            </w:r>
          </w:p>
        </w:tc>
        <w:tc>
          <w:tcPr>
            <w:tcW w:type="dxa" w:w="2340"/>
            <w:tcBorders>
              <w:top w:val="none"/>
              <w:left w:val="none"/>
              <w:bottom w:val="none"/>
              <w:right w:val="none"/>
            </w:tcBorders>
            <w:shd w:fill="F0FDF4" w:val="clear"/>
            <w:tcMar>
              <w:top w:type="dxa" w:w="100"/>
              <w:left w:type="dxa" w:w="150"/>
              <w:bottom w:type="dxa" w:w="100"/>
              <w:right w:type="dxa" w:w="150"/>
            </w:tcMar>
          </w:tcPr>
          <w:p>
            <w:pPr>
              <w:jc w:val="center"/>
            </w:pPr>
            <w:r>
              <w:rPr>
                <w:rFonts w:ascii="Gotham" w:cs="Gotham" w:eastAsia="Gotham" w:hAnsi="Gotham"/>
                <w:b/>
                <w:bCs/>
                <w:color w:val="16A34A"/>
                <w:sz w:val="21"/>
                <w:szCs w:val="21"/>
              </w:rPr>
              <w:t xml:space="preserve">99th</w:t>
            </w:r>
          </w:p>
        </w:tc>
      </w:tr>
      <w:tr>
        <w:tc>
          <w:tcPr>
            <w:tcW w:type="dxa" w:w="2340"/>
            <w:tcBorders>
              <w:top w:val="none"/>
              <w:left w:val="none"/>
              <w:bottom w:val="none"/>
              <w:right w:val="none"/>
            </w:tcBorders>
            <w:shd w:fill="F8FAFC" w:val="clear"/>
            <w:tcMar>
              <w:top w:type="dxa" w:w="100"/>
              <w:left w:type="dxa" w:w="150"/>
              <w:bottom w:type="dxa" w:w="100"/>
              <w:right w:type="dxa" w:w="150"/>
            </w:tcMar>
          </w:tcPr>
          <w:p>
            <w:pPr>
              <w:jc w:val="center"/>
            </w:pPr>
            <w:r>
              <w:rPr>
                <w:rFonts w:ascii="Gotham" w:cs="Gotham" w:eastAsia="Gotham" w:hAnsi="Gotham"/>
                <w:b w:val="false"/>
                <w:bCs w:val="false"/>
                <w:color w:val="0F172A"/>
                <w:sz w:val="21"/>
                <w:szCs w:val="21"/>
              </w:rPr>
              <w:t xml:space="preserve">Quant</w:t>
            </w:r>
          </w:p>
        </w:tc>
        <w:tc>
          <w:tcPr>
            <w:tcW w:type="dxa" w:w="2340"/>
            <w:tcBorders>
              <w:top w:val="none"/>
              <w:left w:val="none"/>
              <w:bottom w:val="none"/>
              <w:right w:val="none"/>
            </w:tcBorders>
            <w:shd w:fill="F8FAFC" w:val="clear"/>
            <w:tcMar>
              <w:top w:type="dxa" w:w="100"/>
              <w:left w:type="dxa" w:w="150"/>
              <w:bottom w:type="dxa" w:w="100"/>
              <w:right w:type="dxa" w:w="150"/>
            </w:tcMar>
          </w:tcPr>
          <w:p>
            <w:pPr>
              <w:jc w:val="center"/>
            </w:pPr>
            <w:r>
              <w:rPr>
                <w:rFonts w:ascii="Gotham" w:cs="Gotham" w:eastAsia="Gotham" w:hAnsi="Gotham"/>
                <w:b w:val="false"/>
                <w:bCs w:val="false"/>
                <w:color w:val="0F172A"/>
                <w:sz w:val="21"/>
                <w:szCs w:val="21"/>
              </w:rPr>
              <w:t xml:space="preserve">—</w:t>
            </w:r>
          </w:p>
        </w:tc>
        <w:tc>
          <w:tcPr>
            <w:tcW w:type="dxa" w:w="2340"/>
            <w:tcBorders>
              <w:top w:val="none"/>
              <w:left w:val="none"/>
              <w:bottom w:val="none"/>
              <w:right w:val="none"/>
            </w:tcBorders>
            <w:shd w:fill="F8FAFC" w:val="clear"/>
            <w:tcMar>
              <w:top w:type="dxa" w:w="100"/>
              <w:left w:type="dxa" w:w="150"/>
              <w:bottom w:type="dxa" w:w="100"/>
              <w:right w:type="dxa" w:w="150"/>
            </w:tcMar>
          </w:tcPr>
          <w:p>
            <w:pPr>
              <w:jc w:val="center"/>
            </w:pPr>
            <w:r>
              <w:rPr>
                <w:rFonts w:ascii="Gotham" w:cs="Gotham" w:eastAsia="Gotham" w:hAnsi="Gotham"/>
                <w:b w:val="false"/>
                <w:bCs w:val="false"/>
                <w:color w:val="0F172A"/>
                <w:sz w:val="21"/>
                <w:szCs w:val="21"/>
              </w:rPr>
              <w:t xml:space="preserve">—</w:t>
            </w:r>
          </w:p>
        </w:tc>
        <w:tc>
          <w:tcPr>
            <w:tcW w:type="dxa" w:w="2340"/>
            <w:tcBorders>
              <w:top w:val="none"/>
              <w:left w:val="none"/>
              <w:bottom w:val="none"/>
              <w:right w:val="none"/>
            </w:tcBorders>
            <w:shd w:fill="F0FDF4" w:val="clear"/>
            <w:tcMar>
              <w:top w:type="dxa" w:w="100"/>
              <w:left w:type="dxa" w:w="150"/>
              <w:bottom w:type="dxa" w:w="100"/>
              <w:right w:type="dxa" w:w="150"/>
            </w:tcMar>
          </w:tcPr>
          <w:p>
            <w:pPr>
              <w:jc w:val="center"/>
            </w:pPr>
            <w:r>
              <w:rPr>
                <w:rFonts w:ascii="Gotham" w:cs="Gotham" w:eastAsia="Gotham" w:hAnsi="Gotham"/>
                <w:b/>
                <w:bCs/>
                <w:color w:val="16A34A"/>
                <w:sz w:val="21"/>
                <w:szCs w:val="21"/>
              </w:rPr>
              <w:t xml:space="preserve">100th</w:t>
            </w:r>
          </w:p>
        </w:tc>
      </w:tr>
      <w:tr>
        <w:tc>
          <w:tcPr>
            <w:tcW w:type="dxa" w:w="2340"/>
            <w:tcBorders>
              <w:top w:val="none"/>
              <w:left w:val="none"/>
              <w:bottom w:val="none"/>
              <w:right w:val="none"/>
            </w:tcBorders>
            <w:shd w:fill="F8FAFC" w:val="clear"/>
            <w:tcMar>
              <w:top w:type="dxa" w:w="100"/>
              <w:left w:type="dxa" w:w="150"/>
              <w:bottom w:type="dxa" w:w="100"/>
              <w:right w:type="dxa" w:w="150"/>
            </w:tcMar>
          </w:tcPr>
          <w:p>
            <w:pPr>
              <w:jc w:val="center"/>
            </w:pPr>
            <w:r>
              <w:rPr>
                <w:rFonts w:ascii="Gotham" w:cs="Gotham" w:eastAsia="Gotham" w:hAnsi="Gotham"/>
                <w:b w:val="false"/>
                <w:bCs w:val="false"/>
                <w:color w:val="0F172A"/>
                <w:sz w:val="21"/>
                <w:szCs w:val="21"/>
              </w:rPr>
              <w:t xml:space="preserve">Verbal</w:t>
            </w:r>
          </w:p>
        </w:tc>
        <w:tc>
          <w:tcPr>
            <w:tcW w:type="dxa" w:w="2340"/>
            <w:tcBorders>
              <w:top w:val="none"/>
              <w:left w:val="none"/>
              <w:bottom w:val="none"/>
              <w:right w:val="none"/>
            </w:tcBorders>
            <w:shd w:fill="F8FAFC" w:val="clear"/>
            <w:tcMar>
              <w:top w:type="dxa" w:w="100"/>
              <w:left w:type="dxa" w:w="150"/>
              <w:bottom w:type="dxa" w:w="100"/>
              <w:right w:type="dxa" w:w="150"/>
            </w:tcMar>
          </w:tcPr>
          <w:p>
            <w:pPr>
              <w:jc w:val="center"/>
            </w:pPr>
            <w:r>
              <w:rPr>
                <w:rFonts w:ascii="Gotham" w:cs="Gotham" w:eastAsia="Gotham" w:hAnsi="Gotham"/>
                <w:b w:val="false"/>
                <w:bCs w:val="false"/>
                <w:color w:val="0F172A"/>
                <w:sz w:val="21"/>
                <w:szCs w:val="21"/>
              </w:rPr>
              <w:t xml:space="preserve">—</w:t>
            </w:r>
          </w:p>
        </w:tc>
        <w:tc>
          <w:tcPr>
            <w:tcW w:type="dxa" w:w="2340"/>
            <w:tcBorders>
              <w:top w:val="none"/>
              <w:left w:val="none"/>
              <w:bottom w:val="none"/>
              <w:right w:val="none"/>
            </w:tcBorders>
            <w:shd w:fill="F8FAFC" w:val="clear"/>
            <w:tcMar>
              <w:top w:type="dxa" w:w="100"/>
              <w:left w:type="dxa" w:w="150"/>
              <w:bottom w:type="dxa" w:w="100"/>
              <w:right w:type="dxa" w:w="150"/>
            </w:tcMar>
          </w:tcPr>
          <w:p>
            <w:pPr>
              <w:jc w:val="center"/>
            </w:pPr>
            <w:r>
              <w:rPr>
                <w:rFonts w:ascii="Gotham" w:cs="Gotham" w:eastAsia="Gotham" w:hAnsi="Gotham"/>
                <w:b w:val="false"/>
                <w:bCs w:val="false"/>
                <w:color w:val="0F172A"/>
                <w:sz w:val="21"/>
                <w:szCs w:val="21"/>
              </w:rPr>
              <w:t xml:space="preserve">—</w:t>
            </w:r>
          </w:p>
        </w:tc>
        <w:tc>
          <w:tcPr>
            <w:tcW w:type="dxa" w:w="2340"/>
            <w:tcBorders>
              <w:top w:val="none"/>
              <w:left w:val="none"/>
              <w:bottom w:val="none"/>
              <w:right w:val="none"/>
            </w:tcBorders>
            <w:shd w:fill="F8FAFC" w:val="clear"/>
            <w:tcMar>
              <w:top w:type="dxa" w:w="100"/>
              <w:left w:type="dxa" w:w="150"/>
              <w:bottom w:type="dxa" w:w="100"/>
              <w:right w:type="dxa" w:w="150"/>
            </w:tcMar>
          </w:tcPr>
          <w:p>
            <w:pPr>
              <w:jc w:val="center"/>
            </w:pPr>
            <w:r>
              <w:rPr>
                <w:rFonts w:ascii="Gotham" w:cs="Gotham" w:eastAsia="Gotham" w:hAnsi="Gotham"/>
                <w:b w:val="false"/>
                <w:bCs w:val="false"/>
                <w:color w:val="0F172A"/>
                <w:sz w:val="21"/>
                <w:szCs w:val="21"/>
              </w:rPr>
              <w:t xml:space="preserve">94th</w:t>
            </w:r>
          </w:p>
        </w:tc>
      </w:tr>
      <w:tr>
        <w:tc>
          <w:tcPr>
            <w:tcW w:type="dxa" w:w="2340"/>
            <w:tcBorders>
              <w:top w:val="none"/>
              <w:left w:val="none"/>
              <w:bottom w:val="none"/>
              <w:right w:val="none"/>
            </w:tcBorders>
            <w:shd w:fill="F8FAFC" w:val="clear"/>
            <w:tcMar>
              <w:top w:type="dxa" w:w="100"/>
              <w:left w:type="dxa" w:w="150"/>
              <w:bottom w:type="dxa" w:w="100"/>
              <w:right w:type="dxa" w:w="150"/>
            </w:tcMar>
          </w:tcPr>
          <w:p>
            <w:pPr>
              <w:jc w:val="center"/>
            </w:pPr>
            <w:r>
              <w:rPr>
                <w:rFonts w:ascii="Gotham" w:cs="Gotham" w:eastAsia="Gotham" w:hAnsi="Gotham"/>
                <w:b w:val="false"/>
                <w:bCs w:val="false"/>
                <w:color w:val="0F172A"/>
                <w:sz w:val="21"/>
                <w:szCs w:val="21"/>
              </w:rPr>
              <w:t xml:space="preserve">Data Insights</w:t>
            </w:r>
          </w:p>
        </w:tc>
        <w:tc>
          <w:tcPr>
            <w:tcW w:type="dxa" w:w="2340"/>
            <w:tcBorders>
              <w:top w:val="none"/>
              <w:left w:val="none"/>
              <w:bottom w:val="none"/>
              <w:right w:val="none"/>
            </w:tcBorders>
            <w:shd w:fill="F8FAFC" w:val="clear"/>
            <w:tcMar>
              <w:top w:type="dxa" w:w="100"/>
              <w:left w:type="dxa" w:w="150"/>
              <w:bottom w:type="dxa" w:w="100"/>
              <w:right w:type="dxa" w:w="150"/>
            </w:tcMar>
          </w:tcPr>
          <w:p>
            <w:pPr>
              <w:jc w:val="center"/>
            </w:pPr>
            <w:r>
              <w:rPr>
                <w:rFonts w:ascii="Gotham" w:cs="Gotham" w:eastAsia="Gotham" w:hAnsi="Gotham"/>
                <w:b w:val="false"/>
                <w:bCs w:val="false"/>
                <w:color w:val="0F172A"/>
                <w:sz w:val="21"/>
                <w:szCs w:val="21"/>
              </w:rPr>
              <w:t xml:space="preserve">—</w:t>
            </w:r>
          </w:p>
        </w:tc>
        <w:tc>
          <w:tcPr>
            <w:tcW w:type="dxa" w:w="2340"/>
            <w:tcBorders>
              <w:top w:val="none"/>
              <w:left w:val="none"/>
              <w:bottom w:val="none"/>
              <w:right w:val="none"/>
            </w:tcBorders>
            <w:shd w:fill="F8FAFC" w:val="clear"/>
            <w:tcMar>
              <w:top w:type="dxa" w:w="100"/>
              <w:left w:type="dxa" w:w="150"/>
              <w:bottom w:type="dxa" w:w="100"/>
              <w:right w:type="dxa" w:w="150"/>
            </w:tcMar>
          </w:tcPr>
          <w:p>
            <w:pPr>
              <w:jc w:val="center"/>
            </w:pPr>
            <w:r>
              <w:rPr>
                <w:rFonts w:ascii="Gotham" w:cs="Gotham" w:eastAsia="Gotham" w:hAnsi="Gotham"/>
                <w:b w:val="false"/>
                <w:bCs w:val="false"/>
                <w:color w:val="0F172A"/>
                <w:sz w:val="21"/>
                <w:szCs w:val="21"/>
              </w:rPr>
              <w:t xml:space="preserve">—</w:t>
            </w:r>
          </w:p>
        </w:tc>
        <w:tc>
          <w:tcPr>
            <w:tcW w:type="dxa" w:w="2340"/>
            <w:tcBorders>
              <w:top w:val="none"/>
              <w:left w:val="none"/>
              <w:bottom w:val="none"/>
              <w:right w:val="none"/>
            </w:tcBorders>
            <w:shd w:fill="F0FDF4" w:val="clear"/>
            <w:tcMar>
              <w:top w:type="dxa" w:w="100"/>
              <w:left w:type="dxa" w:w="150"/>
              <w:bottom w:type="dxa" w:w="100"/>
              <w:right w:type="dxa" w:w="150"/>
            </w:tcMar>
          </w:tcPr>
          <w:p>
            <w:pPr>
              <w:jc w:val="center"/>
            </w:pPr>
            <w:r>
              <w:rPr>
                <w:rFonts w:ascii="Gotham" w:cs="Gotham" w:eastAsia="Gotham" w:hAnsi="Gotham"/>
                <w:b/>
                <w:bCs/>
                <w:color w:val="16A34A"/>
                <w:sz w:val="21"/>
                <w:szCs w:val="21"/>
              </w:rPr>
              <w:t xml:space="preserve">99th</w:t>
            </w:r>
          </w:p>
        </w:tc>
      </w:tr>
    </w:tbl>
    <w:p>
      <w:pPr>
        <w:spacing w:before="80" w:after="80"/>
      </w:pPr>
      <w:r>
        <w:t xml:space="preserve"/>
      </w:r>
    </w:p>
    <w:p>
      <w:pPr>
        <w:pBdr>
          <w:bottom w:val="single" w:color="E2E8F0" w:sz="1" w:space="1"/>
        </w:pBdr>
        <w:spacing w:before="240" w:after="240"/>
      </w:pPr>
      <w:r>
        <w:t xml:space="preserve"/>
      </w:r>
    </w:p>
    <w:p>
      <w:pPr>
        <w:pBdr>
          <w:bottom w:val="single" w:color="2563EB" w:sz="3" w:space="6"/>
        </w:pBdr>
        <w:spacing w:before="360" w:after="120"/>
      </w:pPr>
      <w:r>
        <w:rPr>
          <w:rFonts w:ascii="Gotham" w:cs="Gotham" w:eastAsia="Gotham" w:hAnsi="Gotham"/>
          <w:b/>
          <w:bCs/>
          <w:color w:val="2563EB"/>
          <w:sz w:val="28"/>
          <w:szCs w:val="28"/>
        </w:rPr>
        <w:t xml:space="preserve">Before We Get Into the Prep</w:t>
      </w:r>
    </w:p>
    <w:p>
      <w:pPr>
        <w:spacing w:before="80" w:after="80"/>
      </w:pPr>
      <w:r>
        <w:rPr>
          <w:rFonts w:ascii="Gotham" w:cs="Gotham" w:eastAsia="Gotham" w:hAnsi="Gotham"/>
          <w:color w:val="0F172A"/>
          <w:sz w:val="22"/>
          <w:szCs w:val="22"/>
        </w:rPr>
        <w:t xml:space="preserve">Nithya is a Senior Associate Consultant at Bain. Her job runs Monday to Thursday at full intensity. She had no study leave, no sabbatical, and no clean window of time that was just hers.</w:t>
      </w:r>
    </w:p>
    <w:p>
      <w:pPr>
        <w:spacing w:before="80" w:after="80"/>
      </w:pPr>
      <w:r>
        <w:rPr>
          <w:rFonts w:ascii="Gotham" w:cs="Gotham" w:eastAsia="Gotham" w:hAnsi="Gotham"/>
          <w:color w:val="0F172A"/>
          <w:sz w:val="22"/>
          <w:szCs w:val="22"/>
        </w:rPr>
        <w:t xml:space="preserve">She had written the GMAT once before and landed at 675. By any measure, a respectable score. But she knew she could do better — not because someone told her to, but because she knew herself well enough to know she hadn't hit her ceiling.</w:t>
      </w:r>
    </w:p>
    <w:p>
      <w:pPr>
        <w:pBdr>
          <w:left w:val="single" w:color="16A34A" w:sz="12" w:space="12"/>
        </w:pBdr>
        <w:shd w:fill="F0FDF4" w:val="clear"/>
        <w:spacing w:before="160" w:after="160"/>
        <w:ind w:left="600"/>
      </w:pPr>
      <w:r>
        <w:rPr>
          <w:rFonts w:ascii="Gotham" w:cs="Gotham" w:eastAsia="Gotham" w:hAnsi="Gotham"/>
          <w:i/>
          <w:iCs/>
          <w:color w:val="0F172A"/>
          <w:sz w:val="22"/>
          <w:szCs w:val="22"/>
        </w:rPr>
        <w:t xml:space="preserve">"I personally felt that the last 10 to 15 percent of a push that I needed was something I would not be able to solve for myself."</w:t>
      </w:r>
    </w:p>
    <w:p>
      <w:pPr>
        <w:spacing w:before="80" w:after="80"/>
      </w:pPr>
      <w:r>
        <w:rPr>
          <w:rFonts w:ascii="Gotham" w:cs="Gotham" w:eastAsia="Gotham" w:hAnsi="Gotham"/>
          <w:color w:val="0F172A"/>
          <w:sz w:val="22"/>
          <w:szCs w:val="22"/>
        </w:rPr>
        <w:t xml:space="preserve">Her target going in was 715 to 725. She walked out with 745.</w:t>
      </w:r>
    </w:p>
    <w:p>
      <w:pPr>
        <w:spacing w:before="80" w:after="80"/>
      </w:pPr>
      <w:r>
        <w:rPr>
          <w:rFonts w:ascii="Gotham" w:cs="Gotham" w:eastAsia="Gotham" w:hAnsi="Gotham"/>
          <w:color w:val="0F172A"/>
          <w:sz w:val="22"/>
          <w:szCs w:val="22"/>
        </w:rPr>
        <w:t xml:space="preserve">What happened in the 88 days between those two points is what this document is about.</w:t>
      </w:r>
    </w:p>
    <w:p>
      <w:pPr>
        <w:pBdr>
          <w:bottom w:val="single" w:color="E2E8F0" w:sz="1" w:space="1"/>
        </w:pBdr>
        <w:spacing w:before="240" w:after="240"/>
      </w:pPr>
      <w:r>
        <w:t xml:space="preserve"/>
      </w:r>
    </w:p>
    <w:p>
      <w:pPr>
        <w:pBdr>
          <w:bottom w:val="single" w:color="2563EB" w:sz="3" w:space="6"/>
        </w:pBdr>
        <w:spacing w:before="360" w:after="120"/>
      </w:pPr>
      <w:r>
        <w:rPr>
          <w:rFonts w:ascii="Gotham" w:cs="Gotham" w:eastAsia="Gotham" w:hAnsi="Gotham"/>
          <w:b/>
          <w:bCs/>
          <w:color w:val="2563EB"/>
          <w:sz w:val="28"/>
          <w:szCs w:val="28"/>
        </w:rPr>
        <w:t xml:space="preserve">Why She Didn't Go It Alone</w:t>
      </w:r>
    </w:p>
    <w:p>
      <w:pPr>
        <w:spacing w:before="80" w:after="80"/>
      </w:pPr>
      <w:r>
        <w:rPr>
          <w:rFonts w:ascii="Gotham" w:cs="Gotham" w:eastAsia="Gotham" w:hAnsi="Gotham"/>
          <w:color w:val="0F172A"/>
          <w:sz w:val="22"/>
          <w:szCs w:val="22"/>
        </w:rPr>
        <w:t xml:space="preserve">The first time she prepared, Nithya was structured and thorough. Official materials only. Clean notes. Good concept coverage. And yet, when she sat the exam, Quant surprised her with a level of difficulty she hadn't prepared for.</w:t>
      </w:r>
    </w:p>
    <w:p>
      <w:pPr>
        <w:spacing w:before="80" w:after="80"/>
      </w:pPr>
      <w:r>
        <w:rPr>
          <w:rFonts w:ascii="Gotham" w:cs="Gotham" w:eastAsia="Gotham" w:hAnsi="Gotham"/>
          <w:color w:val="0F172A"/>
          <w:sz w:val="22"/>
          <w:szCs w:val="22"/>
        </w:rPr>
        <w:t xml:space="preserve">She identified three reasons why self-prep alone wouldn't get her to the next level.</w:t>
      </w:r>
    </w:p>
    <w:p>
      <w:pPr>
        <w:pStyle w:val="ListParagraph"/>
        <w:numPr>
          <w:ilvl w:val="0"/>
          <w:numId w:val="2"/>
        </w:numPr>
        <w:spacing w:before="60" w:after="60"/>
      </w:pPr>
      <w:r>
        <w:rPr>
          <w:rFonts w:ascii="Gotham" w:cs="Gotham" w:eastAsia="Gotham" w:hAnsi="Gotham"/>
          <w:b w:val="false"/>
          <w:bCs w:val="false"/>
          <w:color w:val="0F172A"/>
          <w:sz w:val="21"/>
          <w:szCs w:val="21"/>
        </w:rPr>
        <w:t xml:space="preserve">She had complete concept coverage but lacked the last 10-15% of depth on hard Quant.</w:t>
      </w:r>
    </w:p>
    <w:p>
      <w:pPr>
        <w:pStyle w:val="ListParagraph"/>
        <w:numPr>
          <w:ilvl w:val="0"/>
          <w:numId w:val="2"/>
        </w:numPr>
        <w:spacing w:before="60" w:after="60"/>
      </w:pPr>
      <w:r>
        <w:rPr>
          <w:rFonts w:ascii="Gotham" w:cs="Gotham" w:eastAsia="Gotham" w:hAnsi="Gotham"/>
          <w:b w:val="false"/>
          <w:bCs w:val="false"/>
          <w:color w:val="0F172A"/>
          <w:sz w:val="21"/>
          <w:szCs w:val="21"/>
        </w:rPr>
        <w:t xml:space="preserve">She wanted reassurance that her coverage was truly complete — not just broad.</w:t>
      </w:r>
    </w:p>
    <w:p>
      <w:pPr>
        <w:pStyle w:val="ListParagraph"/>
        <w:numPr>
          <w:ilvl w:val="0"/>
          <w:numId w:val="2"/>
        </w:numPr>
        <w:spacing w:before="60" w:after="60"/>
      </w:pPr>
      <w:r>
        <w:rPr>
          <w:rFonts w:ascii="Gotham" w:cs="Gotham" w:eastAsia="Gotham" w:hAnsi="Gotham"/>
          <w:b w:val="false"/>
          <w:bCs w:val="false"/>
          <w:color w:val="0F172A"/>
          <w:sz w:val="21"/>
          <w:szCs w:val="21"/>
        </w:rPr>
        <w:t xml:space="preserve">Her job left no room to invest more time. So she needed her time to work harder, not longer.</w:t>
      </w:r>
    </w:p>
    <w:p>
      <w:pPr>
        <w:pBdr>
          <w:left w:val="single" w:color="16A34A" w:sz="12" w:space="12"/>
        </w:pBdr>
        <w:shd w:fill="F0FDF4" w:val="clear"/>
        <w:spacing w:before="160" w:after="160"/>
        <w:ind w:left="600"/>
      </w:pPr>
      <w:r>
        <w:rPr>
          <w:rFonts w:ascii="Gotham" w:cs="Gotham" w:eastAsia="Gotham" w:hAnsi="Gotham"/>
          <w:i/>
          <w:iCs/>
          <w:color w:val="0F172A"/>
          <w:sz w:val="22"/>
          <w:szCs w:val="22"/>
        </w:rPr>
        <w:t xml:space="preserve">"I felt I needed somebody who understands where I'm coming from and helps me prepare according to that. Random YouTube videos would not necessarily help my case at this stage."</w:t>
      </w:r>
    </w:p>
    <w:p>
      <w:pPr>
        <w:spacing w:before="80" w:after="80"/>
      </w:pPr>
      <w:r>
        <w:rPr>
          <w:rFonts w:ascii="Gotham" w:cs="Gotham" w:eastAsia="Gotham" w:hAnsi="Gotham"/>
          <w:color w:val="0F172A"/>
          <w:sz w:val="22"/>
          <w:szCs w:val="22"/>
        </w:rPr>
        <w:t xml:space="preserve">The diagnostic session was the turning point. Within one class, her mentor had identified her exact gaps — not broadly, but precisely. That precision is what made the difference.</w:t>
      </w:r>
    </w:p>
    <w:p>
      <w:pPr>
        <w:pBdr>
          <w:bottom w:val="single" w:color="E2E8F0" w:sz="1" w:space="1"/>
        </w:pBdr>
        <w:spacing w:before="240" w:after="240"/>
      </w:pPr>
      <w:r>
        <w:t xml:space="preserve"/>
      </w:r>
    </w:p>
    <w:p>
      <w:pPr>
        <w:pBdr>
          <w:bottom w:val="single" w:color="2563EB" w:sz="3" w:space="6"/>
        </w:pBdr>
        <w:spacing w:before="360" w:after="120"/>
      </w:pPr>
      <w:r>
        <w:rPr>
          <w:rFonts w:ascii="Gotham" w:cs="Gotham" w:eastAsia="Gotham" w:hAnsi="Gotham"/>
          <w:b/>
          <w:bCs/>
          <w:color w:val="2563EB"/>
          <w:sz w:val="28"/>
          <w:szCs w:val="28"/>
        </w:rPr>
        <w:t xml:space="preserve">How She Managed Life, Work and Prep</w:t>
      </w:r>
    </w:p>
    <w:p>
      <w:pPr>
        <w:spacing w:before="80" w:after="80"/>
      </w:pPr>
      <w:r>
        <w:rPr>
          <w:rFonts w:ascii="Gotham" w:cs="Gotham" w:eastAsia="Gotham" w:hAnsi="Gotham"/>
          <w:color w:val="0F172A"/>
          <w:sz w:val="22"/>
          <w:szCs w:val="22"/>
        </w:rPr>
        <w:t xml:space="preserve">This is the question every working professional asks. Nithya's answer was not about finding more time. It was about being honest about the time she actually had.</w:t>
      </w:r>
    </w:p>
    <w:p>
      <w:pPr>
        <w:shd w:fill="F0FDF4" w:val="clear"/>
        <w:spacing w:before="120" w:after="120"/>
        <w:ind w:left="200" w:right="200"/>
      </w:pPr>
      <w:r>
        <w:rPr>
          <w:rFonts w:ascii="Gotham" w:cs="Gotham" w:eastAsia="Gotham" w:hAnsi="Gotham"/>
          <w:b/>
          <w:bCs/>
          <w:color w:val="16A34A"/>
          <w:sz w:val="21"/>
          <w:szCs w:val="21"/>
        </w:rPr>
        <w:t xml:space="preserve">The reality:  </w:t>
      </w:r>
      <w:r>
        <w:rPr>
          <w:rFonts w:ascii="Gotham" w:cs="Gotham" w:eastAsia="Gotham" w:hAnsi="Gotham"/>
          <w:color w:val="0F172A"/>
          <w:sz w:val="21"/>
          <w:szCs w:val="21"/>
        </w:rPr>
        <w:t xml:space="preserve">Monday to Thursday — demanding. Friday, Saturday, Sunday — manageable.</w:t>
      </w:r>
    </w:p>
    <w:p>
      <w:pPr>
        <w:spacing w:before="80" w:after="80"/>
      </w:pPr>
      <w:r>
        <w:rPr>
          <w:rFonts w:ascii="Gotham" w:cs="Gotham" w:eastAsia="Gotham" w:hAnsi="Gotham"/>
          <w:color w:val="0F172A"/>
          <w:sz w:val="22"/>
          <w:szCs w:val="22"/>
        </w:rPr>
        <w:t xml:space="preserve">So she built her prep around that reality, not around an ideal schedule.</w:t>
      </w:r>
    </w:p>
    <w:p>
      <w:pPr>
        <w:pStyle w:val="ListParagraph"/>
        <w:numPr>
          <w:ilvl w:val="0"/>
          <w:numId w:val="2"/>
        </w:numPr>
        <w:spacing w:before="60" w:after="60"/>
      </w:pPr>
      <w:r>
        <w:rPr>
          <w:rFonts w:ascii="Gotham" w:cs="Gotham" w:eastAsia="Gotham" w:hAnsi="Gotham"/>
          <w:b w:val="false"/>
          <w:bCs w:val="false"/>
          <w:color w:val="0F172A"/>
          <w:sz w:val="21"/>
          <w:szCs w:val="21"/>
        </w:rPr>
        <w:t xml:space="preserve">Weekends: Concept learning and question practice. This set her up for the week.</w:t>
      </w:r>
    </w:p>
    <w:p>
      <w:pPr>
        <w:pStyle w:val="ListParagraph"/>
        <w:numPr>
          <w:ilvl w:val="0"/>
          <w:numId w:val="2"/>
        </w:numPr>
        <w:spacing w:before="60" w:after="60"/>
      </w:pPr>
      <w:r>
        <w:rPr>
          <w:rFonts w:ascii="Gotham" w:cs="Gotham" w:eastAsia="Gotham" w:hAnsi="Gotham"/>
          <w:b w:val="false"/>
          <w:bCs w:val="false"/>
          <w:color w:val="0F172A"/>
          <w:sz w:val="21"/>
          <w:szCs w:val="21"/>
        </w:rPr>
        <w:t xml:space="preserve">Weekdays (Tue/Wed or Tue/Thu): Question solving only — applying what she already knew. Lower cognitive load. More manageable after a hard day.</w:t>
      </w:r>
    </w:p>
    <w:p>
      <w:pPr>
        <w:pStyle w:val="ListParagraph"/>
        <w:numPr>
          <w:ilvl w:val="0"/>
          <w:numId w:val="2"/>
        </w:numPr>
        <w:spacing w:before="60" w:after="60"/>
      </w:pPr>
      <w:r>
        <w:rPr>
          <w:rFonts w:ascii="Gotham" w:cs="Gotham" w:eastAsia="Gotham" w:hAnsi="Gotham"/>
          <w:b w:val="false"/>
          <w:bCs w:val="false"/>
          <w:color w:val="0F172A"/>
          <w:sz w:val="21"/>
          <w:szCs w:val="21"/>
        </w:rPr>
        <w:t xml:space="preserve">Some weeks, nothing happened until Friday. She made peace with that.</w:t>
      </w:r>
    </w:p>
    <w:p>
      <w:pPr>
        <w:pBdr>
          <w:left w:val="single" w:color="16A34A" w:sz="12" w:space="12"/>
        </w:pBdr>
        <w:shd w:fill="F0FDF4" w:val="clear"/>
        <w:spacing w:before="160" w:after="160"/>
        <w:ind w:left="600"/>
      </w:pPr>
      <w:r>
        <w:rPr>
          <w:rFonts w:ascii="Gotham" w:cs="Gotham" w:eastAsia="Gotham" w:hAnsi="Gotham"/>
          <w:i/>
          <w:iCs/>
          <w:color w:val="0F172A"/>
          <w:sz w:val="22"/>
          <w:szCs w:val="22"/>
        </w:rPr>
        <w:t xml:space="preserve">"As long as you're within a 5 to 10 percent variance of the targets you've set for yourself, you should be okay."</w:t>
      </w:r>
    </w:p>
    <w:p>
      <w:pPr>
        <w:spacing w:before="80" w:after="80"/>
      </w:pPr>
      <w:r>
        <w:rPr>
          <w:rFonts w:ascii="Gotham" w:cs="Gotham" w:eastAsia="Gotham" w:hAnsi="Gotham"/>
          <w:color w:val="0F172A"/>
          <w:sz w:val="22"/>
          <w:szCs w:val="22"/>
        </w:rPr>
        <w:t xml:space="preserve">The bigger lesson: she built her schedule around her worst week, not her best one. When things blew up — a family emergency, international travel in Week 1 — the prep didn't collapse. It bent, then came back.</w:t>
      </w:r>
    </w:p>
    <w:p>
      <w:pPr>
        <w:pBdr>
          <w:bottom w:val="single" w:color="E2E8F0" w:sz="1" w:space="1"/>
        </w:pBdr>
        <w:spacing w:before="240" w:after="240"/>
      </w:pPr>
      <w:r>
        <w:t xml:space="preserve"/>
      </w:r>
    </w:p>
    <w:p>
      <w:pPr>
        <w:pBdr>
          <w:bottom w:val="single" w:color="2563EB" w:sz="3" w:space="6"/>
        </w:pBdr>
        <w:spacing w:before="360" w:after="120"/>
      </w:pPr>
      <w:r>
        <w:rPr>
          <w:rFonts w:ascii="Gotham" w:cs="Gotham" w:eastAsia="Gotham" w:hAnsi="Gotham"/>
          <w:b/>
          <w:bCs/>
          <w:color w:val="2563EB"/>
          <w:sz w:val="28"/>
          <w:szCs w:val="28"/>
        </w:rPr>
        <w:t xml:space="preserve">How She Approached Quant</w:t>
      </w:r>
    </w:p>
    <w:p>
      <w:pPr>
        <w:spacing w:before="80" w:after="80"/>
      </w:pPr>
      <w:r>
        <w:rPr>
          <w:rFonts w:ascii="Gotham" w:cs="Gotham" w:eastAsia="Gotham" w:hAnsi="Gotham"/>
          <w:color w:val="0F172A"/>
          <w:sz w:val="22"/>
          <w:szCs w:val="22"/>
        </w:rPr>
        <w:t xml:space="preserve">Quant was her primary focus. Not because it was her weakest section in isolation, but because she understood that Quant performance has a multiplier effect across the entire exam — including Data Insights.</w:t>
      </w:r>
    </w:p>
    <w:p>
      <w:pPr>
        <w:pBdr>
          <w:left w:val="single" w:color="16A34A" w:sz="12" w:space="12"/>
        </w:pBdr>
        <w:shd w:fill="F0FDF4" w:val="clear"/>
        <w:spacing w:before="160" w:after="160"/>
        <w:ind w:left="600"/>
      </w:pPr>
      <w:r>
        <w:rPr>
          <w:rFonts w:ascii="Gotham" w:cs="Gotham" w:eastAsia="Gotham" w:hAnsi="Gotham"/>
          <w:i/>
          <w:iCs/>
          <w:color w:val="0F172A"/>
          <w:sz w:val="22"/>
          <w:szCs w:val="22"/>
        </w:rPr>
        <w:t xml:space="preserve">"I wanted to target nothing less on Quant, because then I know that I'm maxing out, and verbal I already know I can do."</w:t>
      </w:r>
    </w:p>
    <w:p>
      <w:pPr>
        <w:spacing w:before="240" w:after="80"/>
      </w:pPr>
      <w:r>
        <w:rPr>
          <w:rFonts w:ascii="Gotham" w:cs="Gotham" w:eastAsia="Gotham" w:hAnsi="Gotham"/>
          <w:b/>
          <w:bCs/>
          <w:color w:val="0F172A"/>
          <w:sz w:val="22"/>
          <w:szCs w:val="22"/>
        </w:rPr>
        <w:t xml:space="preserve">What she actually did</w:t>
      </w:r>
    </w:p>
    <w:p>
      <w:pPr>
        <w:pStyle w:val="ListParagraph"/>
        <w:numPr>
          <w:ilvl w:val="0"/>
          <w:numId w:val="2"/>
        </w:numPr>
        <w:spacing w:before="60" w:after="60"/>
      </w:pPr>
      <w:r>
        <w:rPr>
          <w:rFonts w:ascii="Gotham" w:cs="Gotham" w:eastAsia="Gotham" w:hAnsi="Gotham"/>
          <w:b w:val="false"/>
          <w:bCs w:val="false"/>
          <w:color w:val="0F172A"/>
          <w:sz w:val="21"/>
          <w:szCs w:val="21"/>
        </w:rPr>
        <w:t xml:space="preserve">Used the GMAT Official Advanced Guide and Official Quant Review — question by question.</w:t>
      </w:r>
    </w:p>
    <w:p>
      <w:pPr>
        <w:pStyle w:val="ListParagraph"/>
        <w:numPr>
          <w:ilvl w:val="0"/>
          <w:numId w:val="2"/>
        </w:numPr>
        <w:spacing w:before="60" w:after="60"/>
      </w:pPr>
      <w:r>
        <w:rPr>
          <w:rFonts w:ascii="Gotham" w:cs="Gotham" w:eastAsia="Gotham" w:hAnsi="Gotham"/>
          <w:b w:val="false"/>
          <w:bCs w:val="false"/>
          <w:color w:val="0F172A"/>
          <w:sz w:val="21"/>
          <w:szCs w:val="21"/>
        </w:rPr>
        <w:t xml:space="preserve">Maintained a detailed error log — not just what went wrong, but the exact gap in her thought process and the larger conceptual takeaway.</w:t>
      </w:r>
    </w:p>
    <w:p>
      <w:pPr>
        <w:pStyle w:val="ListParagraph"/>
        <w:numPr>
          <w:ilvl w:val="0"/>
          <w:numId w:val="2"/>
        </w:numPr>
        <w:spacing w:before="60" w:after="60"/>
      </w:pPr>
      <w:r>
        <w:rPr>
          <w:rFonts w:ascii="Gotham" w:cs="Gotham" w:eastAsia="Gotham" w:hAnsi="Gotham"/>
          <w:b w:val="false"/>
          <w:bCs w:val="false"/>
          <w:color w:val="0F172A"/>
          <w:sz w:val="21"/>
          <w:szCs w:val="21"/>
        </w:rPr>
        <w:t xml:space="preserve">Practiced hard section tests (21 questions). She was consistently scoring 19 out of 21.</w:t>
      </w:r>
    </w:p>
    <w:p>
      <w:pPr>
        <w:pStyle w:val="ListParagraph"/>
        <w:numPr>
          <w:ilvl w:val="0"/>
          <w:numId w:val="2"/>
        </w:numPr>
        <w:spacing w:before="60" w:after="60"/>
      </w:pPr>
      <w:r>
        <w:rPr>
          <w:rFonts w:ascii="Gotham" w:cs="Gotham" w:eastAsia="Gotham" w:hAnsi="Gotham"/>
          <w:b w:val="false"/>
          <w:bCs w:val="false"/>
          <w:color w:val="0F172A"/>
          <w:sz w:val="21"/>
          <w:szCs w:val="21"/>
        </w:rPr>
        <w:t xml:space="preserve">When stuck on a topic, she asked for more questions at medium and hard level — targeted, not random.</w:t>
      </w:r>
    </w:p>
    <w:p>
      <w:pPr>
        <w:spacing w:before="240" w:after="80"/>
      </w:pPr>
      <w:r>
        <w:rPr>
          <w:rFonts w:ascii="Gotham" w:cs="Gotham" w:eastAsia="Gotham" w:hAnsi="Gotham"/>
          <w:b/>
          <w:bCs/>
          <w:color w:val="0F172A"/>
          <w:sz w:val="22"/>
          <w:szCs w:val="22"/>
        </w:rPr>
        <w:t xml:space="preserve">The habit that separated her</w:t>
      </w:r>
    </w:p>
    <w:p>
      <w:pPr>
        <w:spacing w:before="80" w:after="80"/>
      </w:pPr>
      <w:r>
        <w:rPr>
          <w:rFonts w:ascii="Gotham" w:cs="Gotham" w:eastAsia="Gotham" w:hAnsi="Gotham"/>
          <w:color w:val="0F172A"/>
          <w:sz w:val="22"/>
          <w:szCs w:val="22"/>
        </w:rPr>
        <w:t xml:space="preserve">She never moved on from a concept until it was completely watertight. When an explanation didn't fully hold up, she came back with the specific example that broke it. This is rare. Most students accept a 90% understanding and move on. Nithya didn't.</w:t>
      </w:r>
    </w:p>
    <w:p>
      <w:pPr>
        <w:pBdr>
          <w:left w:val="single" w:color="16A34A" w:sz="12" w:space="12"/>
        </w:pBdr>
        <w:shd w:fill="F0FDF4" w:val="clear"/>
        <w:spacing w:before="160" w:after="160"/>
        <w:ind w:left="600"/>
      </w:pPr>
      <w:r>
        <w:rPr>
          <w:rFonts w:ascii="Gotham" w:cs="Gotham" w:eastAsia="Gotham" w:hAnsi="Gotham"/>
          <w:i/>
          <w:iCs/>
          <w:color w:val="0F172A"/>
          <w:sz w:val="22"/>
          <w:szCs w:val="22"/>
        </w:rPr>
        <w:t xml:space="preserve">"Without realizing why exactly you went wrong, spending time to analyze what was wrong in your thought process and what is the correct approach — that is also important to put down, because that is really the learning."</w:t>
      </w:r>
    </w:p>
    <w:p>
      <w:pPr>
        <w:shd w:fill="F0FDF4" w:val="clear"/>
        <w:spacing w:before="120" w:after="120"/>
        <w:ind w:left="200" w:right="200"/>
      </w:pPr>
      <w:r>
        <w:rPr>
          <w:rFonts w:ascii="Gotham" w:cs="Gotham" w:eastAsia="Gotham" w:hAnsi="Gotham"/>
          <w:b/>
          <w:bCs/>
          <w:color w:val="16A34A"/>
          <w:sz w:val="21"/>
          <w:szCs w:val="21"/>
        </w:rPr>
        <w:t xml:space="preserve">The hard way lesson:  </w:t>
      </w:r>
      <w:r>
        <w:rPr>
          <w:rFonts w:ascii="Gotham" w:cs="Gotham" w:eastAsia="Gotham" w:hAnsi="Gotham"/>
          <w:color w:val="0F172A"/>
          <w:sz w:val="21"/>
          <w:szCs w:val="21"/>
        </w:rPr>
        <w:t xml:space="preserve">Don't solve questions topic by topic in isolation. Mix them up. The GMAT will not serve you one topic at a time. Context switching in practice is what builds context switching in the exam.</w:t>
      </w:r>
    </w:p>
    <w:p>
      <w:pPr>
        <w:pBdr>
          <w:bottom w:val="single" w:color="E2E8F0" w:sz="1" w:space="1"/>
        </w:pBdr>
        <w:spacing w:before="240" w:after="240"/>
      </w:pPr>
      <w:r>
        <w:t xml:space="preserve"/>
      </w:r>
    </w:p>
    <w:p>
      <w:pPr>
        <w:pBdr>
          <w:bottom w:val="single" w:color="2563EB" w:sz="3" w:space="6"/>
        </w:pBdr>
        <w:spacing w:before="360" w:after="120"/>
      </w:pPr>
      <w:r>
        <w:rPr>
          <w:rFonts w:ascii="Gotham" w:cs="Gotham" w:eastAsia="Gotham" w:hAnsi="Gotham"/>
          <w:b/>
          <w:bCs/>
          <w:color w:val="2563EB"/>
          <w:sz w:val="28"/>
          <w:szCs w:val="28"/>
        </w:rPr>
        <w:t xml:space="preserve">How She Got to 99th Percentile on Data Insights</w:t>
      </w:r>
    </w:p>
    <w:p>
      <w:pPr>
        <w:spacing w:before="80" w:after="80"/>
      </w:pPr>
      <w:r>
        <w:rPr>
          <w:rFonts w:ascii="Gotham" w:cs="Gotham" w:eastAsia="Gotham" w:hAnsi="Gotham"/>
          <w:color w:val="0F172A"/>
          <w:sz w:val="22"/>
          <w:szCs w:val="22"/>
        </w:rPr>
        <w:t xml:space="preserve">Nithya's Data Insights score didn't come from a separate DI strategy. It came from getting stronger at Quant and Verbal first.</w:t>
      </w:r>
    </w:p>
    <w:p>
      <w:pPr>
        <w:pBdr>
          <w:left w:val="single" w:color="16A34A" w:sz="12" w:space="12"/>
        </w:pBdr>
        <w:shd w:fill="F0FDF4" w:val="clear"/>
        <w:spacing w:before="160" w:after="160"/>
        <w:ind w:left="600"/>
      </w:pPr>
      <w:r>
        <w:rPr>
          <w:rFonts w:ascii="Gotham" w:cs="Gotham" w:eastAsia="Gotham" w:hAnsi="Gotham"/>
          <w:i/>
          <w:iCs/>
          <w:color w:val="0F172A"/>
          <w:sz w:val="22"/>
          <w:szCs w:val="22"/>
        </w:rPr>
        <w:t xml:space="preserve">"As I made progress in Quant and Verbal, I started noticing that my Data Insights timing automatically started improving."</w:t>
      </w:r>
    </w:p>
    <w:p>
      <w:pPr>
        <w:spacing w:before="240" w:after="80"/>
      </w:pPr>
      <w:r>
        <w:rPr>
          <w:rFonts w:ascii="Gotham" w:cs="Gotham" w:eastAsia="Gotham" w:hAnsi="Gotham"/>
          <w:b/>
          <w:bCs/>
          <w:color w:val="0F172A"/>
          <w:sz w:val="22"/>
          <w:szCs w:val="22"/>
        </w:rPr>
        <w:t xml:space="preserve">On the five question types</w:t>
      </w:r>
    </w:p>
    <w:p>
      <w:pPr>
        <w:pStyle w:val="ListParagraph"/>
        <w:numPr>
          <w:ilvl w:val="0"/>
          <w:numId w:val="2"/>
        </w:numPr>
        <w:spacing w:before="60" w:after="60"/>
      </w:pPr>
      <w:r>
        <w:rPr>
          <w:rFonts w:ascii="Gotham" w:cs="Gotham" w:eastAsia="Gotham" w:hAnsi="Gotham"/>
          <w:b w:val="false"/>
          <w:bCs w:val="false"/>
          <w:color w:val="0F172A"/>
          <w:sz w:val="21"/>
          <w:szCs w:val="21"/>
        </w:rPr>
        <w:t xml:space="preserve">Graphs and Table Analysis: Manageable early. Graphs rarely took more than 90 seconds.</w:t>
      </w:r>
    </w:p>
    <w:p>
      <w:pPr>
        <w:pStyle w:val="ListParagraph"/>
        <w:numPr>
          <w:ilvl w:val="0"/>
          <w:numId w:val="2"/>
        </w:numPr>
        <w:spacing w:before="60" w:after="60"/>
      </w:pPr>
      <w:r>
        <w:rPr>
          <w:rFonts w:ascii="Gotham" w:cs="Gotham" w:eastAsia="Gotham" w:hAnsi="Gotham"/>
          <w:b w:val="false"/>
          <w:bCs w:val="false"/>
          <w:color w:val="0F172A"/>
          <w:sz w:val="21"/>
          <w:szCs w:val="21"/>
        </w:rPr>
        <w:t xml:space="preserve">Data Sufficiency: Quant prep carried this naturally.</w:t>
      </w:r>
    </w:p>
    <w:p>
      <w:pPr>
        <w:pStyle w:val="ListParagraph"/>
        <w:numPr>
          <w:ilvl w:val="0"/>
          <w:numId w:val="2"/>
        </w:numPr>
        <w:spacing w:before="60" w:after="60"/>
      </w:pPr>
      <w:r>
        <w:rPr>
          <w:rFonts w:ascii="Gotham" w:cs="Gotham" w:eastAsia="Gotham" w:hAnsi="Gotham"/>
          <w:b w:val="false"/>
          <w:bCs w:val="false"/>
          <w:color w:val="0F172A"/>
          <w:sz w:val="21"/>
          <w:szCs w:val="21"/>
        </w:rPr>
        <w:t xml:space="preserve">MSR: Harder than it looks — but only because of time anxiety. Her fix: invest 2 minutes upfront reading everything properly. That 2-minute investment covers all 3 MSR questions, not just one.</w:t>
      </w:r>
    </w:p>
    <w:p>
      <w:pPr>
        <w:pStyle w:val="ListParagraph"/>
        <w:numPr>
          <w:ilvl w:val="0"/>
          <w:numId w:val="2"/>
        </w:numPr>
        <w:spacing w:before="60" w:after="60"/>
      </w:pPr>
      <w:r>
        <w:rPr>
          <w:rFonts w:ascii="Gotham" w:cs="Gotham" w:eastAsia="Gotham" w:hAnsi="Gotham"/>
          <w:b w:val="false"/>
          <w:bCs w:val="false"/>
          <w:color w:val="0F172A"/>
          <w:sz w:val="21"/>
          <w:szCs w:val="21"/>
        </w:rPr>
        <w:t xml:space="preserve">Two-Part Analysis: Her hardest format. Her fix: treat each part as a completely independent question. Stop trying to see the whole thing at once.</w:t>
      </w:r>
    </w:p>
    <w:p>
      <w:pPr>
        <w:spacing w:before="240" w:after="80"/>
      </w:pPr>
      <w:r>
        <w:rPr>
          <w:rFonts w:ascii="Gotham" w:cs="Gotham" w:eastAsia="Gotham" w:hAnsi="Gotham"/>
          <w:b/>
          <w:bCs/>
          <w:color w:val="0F172A"/>
          <w:sz w:val="22"/>
          <w:szCs w:val="22"/>
        </w:rPr>
        <w:t xml:space="preserve">How she tracked DI practice</w:t>
      </w:r>
    </w:p>
    <w:p>
      <w:pPr>
        <w:spacing w:before="80" w:after="80"/>
      </w:pPr>
      <w:r>
        <w:rPr>
          <w:rFonts w:ascii="Gotham" w:cs="Gotham" w:eastAsia="Gotham" w:hAnsi="Gotham"/>
          <w:color w:val="0F172A"/>
          <w:sz w:val="22"/>
          <w:szCs w:val="22"/>
        </w:rPr>
        <w:t xml:space="preserve">She maintained an Excel log splitting questions into math and non-math, ensuring she wasn't over-indexing on one type. It was this log that helped her realize she was stronger on math-based Two-Part and weaker on verbal-based — a gap she would never have spotted without the data.</w:t>
      </w:r>
    </w:p>
    <w:p>
      <w:pPr>
        <w:shd w:fill="F0FDF4" w:val="clear"/>
        <w:spacing w:before="120" w:after="120"/>
        <w:ind w:left="200" w:right="200"/>
      </w:pPr>
      <w:r>
        <w:rPr>
          <w:rFonts w:ascii="Gotham" w:cs="Gotham" w:eastAsia="Gotham" w:hAnsi="Gotham"/>
          <w:b/>
          <w:bCs/>
          <w:color w:val="16A34A"/>
          <w:sz w:val="21"/>
          <w:szCs w:val="21"/>
        </w:rPr>
        <w:t xml:space="preserve">Timing strategy:  </w:t>
      </w:r>
      <w:r>
        <w:rPr>
          <w:rFonts w:ascii="Gotham" w:cs="Gotham" w:eastAsia="Gotham" w:hAnsi="Gotham"/>
          <w:color w:val="0F172A"/>
          <w:sz w:val="21"/>
          <w:szCs w:val="21"/>
        </w:rPr>
        <w:t xml:space="preserve">She took her 10-minute break before Data Insights — not before Verbal. She wanted to be completely fresh for the section that needed the sharpest cognitive bandwidth.</w:t>
      </w:r>
    </w:p>
    <w:p>
      <w:pPr>
        <w:pBdr>
          <w:bottom w:val="single" w:color="E2E8F0" w:sz="1" w:space="1"/>
        </w:pBdr>
        <w:spacing w:before="240" w:after="240"/>
      </w:pPr>
      <w:r>
        <w:t xml:space="preserve"/>
      </w:r>
    </w:p>
    <w:p>
      <w:pPr>
        <w:pBdr>
          <w:bottom w:val="single" w:color="2563EB" w:sz="3" w:space="6"/>
        </w:pBdr>
        <w:spacing w:before="360" w:after="120"/>
      </w:pPr>
      <w:r>
        <w:rPr>
          <w:rFonts w:ascii="Gotham" w:cs="Gotham" w:eastAsia="Gotham" w:hAnsi="Gotham"/>
          <w:b/>
          <w:bCs/>
          <w:color w:val="2563EB"/>
          <w:sz w:val="28"/>
          <w:szCs w:val="28"/>
        </w:rPr>
        <w:t xml:space="preserve">When It Got Hard</w:t>
      </w:r>
    </w:p>
    <w:p>
      <w:pPr>
        <w:spacing w:before="80" w:after="80"/>
      </w:pPr>
      <w:r>
        <w:rPr>
          <w:rFonts w:ascii="Gotham" w:cs="Gotham" w:eastAsia="Gotham" w:hAnsi="Gotham"/>
          <w:color w:val="0F172A"/>
          <w:sz w:val="22"/>
          <w:szCs w:val="22"/>
        </w:rPr>
        <w:t xml:space="preserve">There were weeks where nothing happened until Friday. There were days where accuracy dropped on questions she thought she'd nailed. There was a family emergency mid-prep. International travel in Week 1. A demanding job every single day.</w:t>
      </w:r>
    </w:p>
    <w:p>
      <w:pPr>
        <w:spacing w:before="80" w:after="80"/>
      </w:pPr>
      <w:r>
        <w:rPr>
          <w:rFonts w:ascii="Gotham" w:cs="Gotham" w:eastAsia="Gotham" w:hAnsi="Gotham"/>
          <w:color w:val="0F172A"/>
          <w:sz w:val="22"/>
          <w:szCs w:val="22"/>
        </w:rPr>
        <w:t xml:space="preserve">She never disappeared. She rescheduled, adjusted, and came back.</w:t>
      </w:r>
    </w:p>
    <w:p>
      <w:pPr>
        <w:pBdr>
          <w:left w:val="single" w:color="16A34A" w:sz="12" w:space="12"/>
        </w:pBdr>
        <w:shd w:fill="F0FDF4" w:val="clear"/>
        <w:spacing w:before="160" w:after="160"/>
        <w:ind w:left="600"/>
      </w:pPr>
      <w:r>
        <w:rPr>
          <w:rFonts w:ascii="Gotham" w:cs="Gotham" w:eastAsia="Gotham" w:hAnsi="Gotham"/>
          <w:i/>
          <w:iCs/>
          <w:color w:val="0F172A"/>
          <w:sz w:val="22"/>
          <w:szCs w:val="22"/>
        </w:rPr>
        <w:t xml:space="preserve">"You need to have a view of the larger picture — to ensure you're on track to completing whatever percentage of the syllabus by a certain date."</w:t>
      </w:r>
    </w:p>
    <w:p>
      <w:pPr>
        <w:spacing w:before="80" w:after="80"/>
      </w:pPr>
      <w:r>
        <w:rPr>
          <w:rFonts w:ascii="Gotham" w:cs="Gotham" w:eastAsia="Gotham" w:hAnsi="Gotham"/>
          <w:color w:val="0F172A"/>
          <w:sz w:val="22"/>
          <w:szCs w:val="22"/>
        </w:rPr>
        <w:t xml:space="preserve">The specific advice she gave students who feel stuck in the anxiety loop — bad day, self-doubt, repeat:</w:t>
      </w:r>
    </w:p>
    <w:p>
      <w:pPr>
        <w:pStyle w:val="ListParagraph"/>
        <w:numPr>
          <w:ilvl w:val="0"/>
          <w:numId w:val="2"/>
        </w:numPr>
        <w:spacing w:before="60" w:after="60"/>
      </w:pPr>
      <w:r>
        <w:rPr>
          <w:rFonts w:ascii="Gotham" w:cs="Gotham" w:eastAsia="Gotham" w:hAnsi="Gotham"/>
          <w:b w:val="false"/>
          <w:bCs w:val="false"/>
          <w:color w:val="0F172A"/>
          <w:sz w:val="21"/>
          <w:szCs w:val="21"/>
        </w:rPr>
        <w:t xml:space="preserve">Zoom out. One bad session is not your trajectory.</w:t>
      </w:r>
    </w:p>
    <w:p>
      <w:pPr>
        <w:pStyle w:val="ListParagraph"/>
        <w:numPr>
          <w:ilvl w:val="0"/>
          <w:numId w:val="2"/>
        </w:numPr>
        <w:spacing w:before="60" w:after="60"/>
      </w:pPr>
      <w:r>
        <w:rPr>
          <w:rFonts w:ascii="Gotham" w:cs="Gotham" w:eastAsia="Gotham" w:hAnsi="Gotham"/>
          <w:b w:val="false"/>
          <w:bCs w:val="false"/>
          <w:color w:val="0F172A"/>
          <w:sz w:val="21"/>
          <w:szCs w:val="21"/>
        </w:rPr>
        <w:t xml:space="preserve">Ask for more questions on your weak areas — targeted, not random.</w:t>
      </w:r>
    </w:p>
    <w:p>
      <w:pPr>
        <w:pStyle w:val="ListParagraph"/>
        <w:numPr>
          <w:ilvl w:val="0"/>
          <w:numId w:val="2"/>
        </w:numPr>
        <w:spacing w:before="60" w:after="60"/>
      </w:pPr>
      <w:r>
        <w:rPr>
          <w:rFonts w:ascii="Gotham" w:cs="Gotham" w:eastAsia="Gotham" w:hAnsi="Gotham"/>
          <w:b w:val="false"/>
          <w:bCs w:val="false"/>
          <w:color w:val="0F172A"/>
          <w:sz w:val="21"/>
          <w:szCs w:val="21"/>
        </w:rPr>
        <w:t xml:space="preserve">Don't just keep moving forward. Know the gap in that area first. Then move forward.</w:t>
      </w:r>
    </w:p>
    <w:p>
      <w:pPr>
        <w:pBdr>
          <w:bottom w:val="single" w:color="E2E8F0" w:sz="1" w:space="1"/>
        </w:pBdr>
        <w:spacing w:before="240" w:after="240"/>
      </w:pPr>
      <w:r>
        <w:t xml:space="preserve"/>
      </w:r>
    </w:p>
    <w:p>
      <w:pPr>
        <w:pBdr>
          <w:bottom w:val="single" w:color="2563EB" w:sz="3" w:space="6"/>
        </w:pBdr>
        <w:spacing w:before="360" w:after="120"/>
      </w:pPr>
      <w:r>
        <w:rPr>
          <w:rFonts w:ascii="Gotham" w:cs="Gotham" w:eastAsia="Gotham" w:hAnsi="Gotham"/>
          <w:b/>
          <w:bCs/>
          <w:color w:val="2563EB"/>
          <w:sz w:val="28"/>
          <w:szCs w:val="28"/>
        </w:rPr>
        <w:t xml:space="preserve">How She Used Mocks</w:t>
      </w:r>
    </w:p>
    <w:p>
      <w:pPr>
        <w:spacing w:before="80" w:after="80"/>
      </w:pPr>
      <w:r>
        <w:rPr>
          <w:rFonts w:ascii="Gotham" w:cs="Gotham" w:eastAsia="Gotham" w:hAnsi="Gotham"/>
          <w:color w:val="0F172A"/>
          <w:sz w:val="22"/>
          <w:szCs w:val="22"/>
        </w:rPr>
        <w:t xml:space="preserve">Mock 3 came in at 725. Mock 4 dropped to 715. She didn't celebrate at 725. She didn't spiral at 715. She went through every wrong answer, one by one, the same way she reviewed her practice sets.</w:t>
      </w:r>
    </w:p>
    <w:p>
      <w:pPr>
        <w:shd w:fill="F0FDF4" w:val="clear"/>
        <w:spacing w:before="120" w:after="120"/>
        <w:ind w:left="200" w:right="200"/>
      </w:pPr>
      <w:r>
        <w:rPr>
          <w:rFonts w:ascii="Gotham" w:cs="Gotham" w:eastAsia="Gotham" w:hAnsi="Gotham"/>
          <w:b/>
          <w:bCs/>
          <w:color w:val="16A34A"/>
          <w:sz w:val="21"/>
          <w:szCs w:val="21"/>
        </w:rPr>
        <w:t xml:space="preserve">Her process after every mock:  </w:t>
      </w:r>
      <w:r>
        <w:rPr>
          <w:rFonts w:ascii="Gotham" w:cs="Gotham" w:eastAsia="Gotham" w:hAnsi="Gotham"/>
          <w:color w:val="0F172A"/>
          <w:sz w:val="21"/>
          <w:szCs w:val="21"/>
        </w:rPr>
        <w:t xml:space="preserve">What went wrong. Why it went wrong. What is the larger conceptual takeaway — not just for this question, but for the category.</w:t>
      </w:r>
    </w:p>
    <w:p>
      <w:pPr>
        <w:spacing w:before="80" w:after="80"/>
      </w:pPr>
      <w:r>
        <w:rPr>
          <w:rFonts w:ascii="Gotham" w:cs="Gotham" w:eastAsia="Gotham" w:hAnsi="Gotham"/>
          <w:color w:val="0F172A"/>
          <w:sz w:val="22"/>
          <w:szCs w:val="22"/>
        </w:rPr>
        <w:t xml:space="preserve">She also replicated her exact exam conditions in every mock — same time slot (8am to 11am), same section order, same break placement. By December 30, the actual GMAT felt familiar.</w:t>
      </w:r>
    </w:p>
    <w:p>
      <w:pPr>
        <w:pBdr>
          <w:left w:val="single" w:color="16A34A" w:sz="12" w:space="12"/>
        </w:pBdr>
        <w:shd w:fill="F0FDF4" w:val="clear"/>
        <w:spacing w:before="160" w:after="160"/>
        <w:ind w:left="600"/>
      </w:pPr>
      <w:r>
        <w:rPr>
          <w:rFonts w:ascii="Gotham" w:cs="Gotham" w:eastAsia="Gotham" w:hAnsi="Gotham"/>
          <w:i/>
          <w:iCs/>
          <w:color w:val="0F172A"/>
          <w:sz w:val="22"/>
          <w:szCs w:val="22"/>
        </w:rPr>
        <w:t xml:space="preserve">"I was expecting maybe a 715. The screen showed 745 and I was like — what is this? That is really something I did not expect."</w:t>
      </w:r>
    </w:p>
    <w:p>
      <w:pPr>
        <w:pBdr>
          <w:bottom w:val="single" w:color="E2E8F0" w:sz="1" w:space="1"/>
        </w:pBdr>
        <w:spacing w:before="240" w:after="240"/>
      </w:pPr>
      <w:r>
        <w:t xml:space="preserve"/>
      </w:r>
    </w:p>
    <w:p>
      <w:pPr>
        <w:pBdr>
          <w:bottom w:val="single" w:color="2563EB" w:sz="3" w:space="6"/>
        </w:pBdr>
        <w:spacing w:before="360" w:after="120"/>
      </w:pPr>
      <w:r>
        <w:rPr>
          <w:rFonts w:ascii="Gotham" w:cs="Gotham" w:eastAsia="Gotham" w:hAnsi="Gotham"/>
          <w:b/>
          <w:bCs/>
          <w:color w:val="2563EB"/>
          <w:sz w:val="28"/>
          <w:szCs w:val="28"/>
        </w:rPr>
        <w:t xml:space="preserve">5 Habits — In Her Own Words</w:t>
      </w:r>
    </w:p>
    <w:p>
      <w:pPr>
        <w:spacing w:before="80" w:after="80"/>
      </w:pPr>
      <w:r>
        <w:rPr>
          <w:rFonts w:ascii="Gotham" w:cs="Gotham" w:eastAsia="Gotham" w:hAnsi="Gotham"/>
          <w:color w:val="0F172A"/>
          <w:sz w:val="22"/>
          <w:szCs w:val="22"/>
        </w:rPr>
        <w:t xml:space="preserve">Pull these out. Apply them this week.</w:t>
      </w:r>
    </w:p>
    <w:p>
      <w:pPr>
        <w:spacing w:before="80" w:after="80"/>
      </w:pPr>
      <w:r>
        <w:t xml:space="preserve"/>
      </w:r>
    </w:p>
    <w:p>
      <w:pPr>
        <w:spacing w:before="120" w:after="60"/>
      </w:pPr>
      <w:r>
        <w:rPr>
          <w:rFonts w:ascii="Gotham" w:cs="Gotham" w:eastAsia="Gotham" w:hAnsi="Gotham"/>
          <w:b/>
          <w:bCs/>
          <w:color w:val="16A34A"/>
          <w:sz w:val="24"/>
          <w:szCs w:val="24"/>
        </w:rPr>
        <w:t xml:space="preserve">01  </w:t>
      </w:r>
      <w:r>
        <w:rPr>
          <w:rFonts w:ascii="Gotham" w:cs="Gotham" w:eastAsia="Gotham" w:hAnsi="Gotham"/>
          <w:b/>
          <w:bCs/>
          <w:color w:val="0F172A"/>
          <w:sz w:val="22"/>
          <w:szCs w:val="22"/>
        </w:rPr>
        <w:t xml:space="preserve">Never leave a wrong answer without knowing the exact reason.</w:t>
      </w:r>
    </w:p>
    <w:p>
      <w:pPr>
        <w:spacing w:before="80" w:after="80"/>
      </w:pPr>
      <w:r>
        <w:rPr>
          <w:rFonts w:ascii="Gotham" w:cs="Gotham" w:eastAsia="Gotham" w:hAnsi="Gotham"/>
          <w:color w:val="0F172A"/>
          <w:sz w:val="22"/>
          <w:szCs w:val="22"/>
        </w:rPr>
        <w:t xml:space="preserve">Not 'silly mistake.' The actual gap in your thinking. Write the larger conceptual takeaway.</w:t>
      </w:r>
    </w:p>
    <w:p>
      <w:pPr>
        <w:spacing w:before="120" w:after="60"/>
      </w:pPr>
      <w:r>
        <w:rPr>
          <w:rFonts w:ascii="Gotham" w:cs="Gotham" w:eastAsia="Gotham" w:hAnsi="Gotham"/>
          <w:b/>
          <w:bCs/>
          <w:color w:val="16A34A"/>
          <w:sz w:val="24"/>
          <w:szCs w:val="24"/>
        </w:rPr>
        <w:t xml:space="preserve">02  </w:t>
      </w:r>
      <w:r>
        <w:rPr>
          <w:rFonts w:ascii="Gotham" w:cs="Gotham" w:eastAsia="Gotham" w:hAnsi="Gotham"/>
          <w:b/>
          <w:bCs/>
          <w:color w:val="0F172A"/>
          <w:sz w:val="22"/>
          <w:szCs w:val="22"/>
        </w:rPr>
        <w:t xml:space="preserve">Never accept a concept you can't explain in one clean sentence.</w:t>
      </w:r>
    </w:p>
    <w:p>
      <w:pPr>
        <w:spacing w:before="80" w:after="80"/>
      </w:pPr>
      <w:r>
        <w:rPr>
          <w:rFonts w:ascii="Gotham" w:cs="Gotham" w:eastAsia="Gotham" w:hAnsi="Gotham"/>
          <w:color w:val="0F172A"/>
          <w:sz w:val="22"/>
          <w:szCs w:val="22"/>
        </w:rPr>
        <w:t xml:space="preserve">If you can't write what a concept means without looking it up, you don't own it yet.</w:t>
      </w:r>
    </w:p>
    <w:p>
      <w:pPr>
        <w:spacing w:before="120" w:after="60"/>
      </w:pPr>
      <w:r>
        <w:rPr>
          <w:rFonts w:ascii="Gotham" w:cs="Gotham" w:eastAsia="Gotham" w:hAnsi="Gotham"/>
          <w:b/>
          <w:bCs/>
          <w:color w:val="16A34A"/>
          <w:sz w:val="24"/>
          <w:szCs w:val="24"/>
        </w:rPr>
        <w:t xml:space="preserve">03  </w:t>
      </w:r>
      <w:r>
        <w:rPr>
          <w:rFonts w:ascii="Gotham" w:cs="Gotham" w:eastAsia="Gotham" w:hAnsi="Gotham"/>
          <w:b/>
          <w:bCs/>
          <w:color w:val="0F172A"/>
          <w:sz w:val="22"/>
          <w:szCs w:val="22"/>
        </w:rPr>
        <w:t xml:space="preserve">Mix your question practice across topics.</w:t>
      </w:r>
    </w:p>
    <w:p>
      <w:pPr>
        <w:spacing w:before="80" w:after="80"/>
      </w:pPr>
      <w:r>
        <w:rPr>
          <w:rFonts w:ascii="Gotham" w:cs="Gotham" w:eastAsia="Gotham" w:hAnsi="Gotham"/>
          <w:color w:val="0F172A"/>
          <w:sz w:val="22"/>
          <w:szCs w:val="22"/>
        </w:rPr>
        <w:t xml:space="preserve">The GMAT doesn't serve you one topic at a time. Your practice shouldn't either.</w:t>
      </w:r>
    </w:p>
    <w:p>
      <w:pPr>
        <w:spacing w:before="120" w:after="60"/>
      </w:pPr>
      <w:r>
        <w:rPr>
          <w:rFonts w:ascii="Gotham" w:cs="Gotham" w:eastAsia="Gotham" w:hAnsi="Gotham"/>
          <w:b/>
          <w:bCs/>
          <w:color w:val="16A34A"/>
          <w:sz w:val="24"/>
          <w:szCs w:val="24"/>
        </w:rPr>
        <w:t xml:space="preserve">04  </w:t>
      </w:r>
      <w:r>
        <w:rPr>
          <w:rFonts w:ascii="Gotham" w:cs="Gotham" w:eastAsia="Gotham" w:hAnsi="Gotham"/>
          <w:b/>
          <w:bCs/>
          <w:color w:val="0F172A"/>
          <w:sz w:val="22"/>
          <w:szCs w:val="22"/>
        </w:rPr>
        <w:t xml:space="preserve">Build your schedule around your worst week, not your best one.</w:t>
      </w:r>
    </w:p>
    <w:p>
      <w:pPr>
        <w:spacing w:before="80" w:after="80"/>
      </w:pPr>
      <w:r>
        <w:rPr>
          <w:rFonts w:ascii="Gotham" w:cs="Gotham" w:eastAsia="Gotham" w:hAnsi="Gotham"/>
          <w:color w:val="0F172A"/>
          <w:sz w:val="22"/>
          <w:szCs w:val="22"/>
        </w:rPr>
        <w:t xml:space="preserve">If your prep only works when everything is calm, it won't work. Life will not stay calm.</w:t>
      </w:r>
    </w:p>
    <w:p>
      <w:pPr>
        <w:spacing w:before="120" w:after="60"/>
      </w:pPr>
      <w:r>
        <w:rPr>
          <w:rFonts w:ascii="Gotham" w:cs="Gotham" w:eastAsia="Gotham" w:hAnsi="Gotham"/>
          <w:b/>
          <w:bCs/>
          <w:color w:val="16A34A"/>
          <w:sz w:val="24"/>
          <w:szCs w:val="24"/>
        </w:rPr>
        <w:t xml:space="preserve">05  </w:t>
      </w:r>
      <w:r>
        <w:rPr>
          <w:rFonts w:ascii="Gotham" w:cs="Gotham" w:eastAsia="Gotham" w:hAnsi="Gotham"/>
          <w:b/>
          <w:bCs/>
          <w:color w:val="0F172A"/>
          <w:sz w:val="22"/>
          <w:szCs w:val="22"/>
        </w:rPr>
        <w:t xml:space="preserve">Measure what matters. Log everything.</w:t>
      </w:r>
    </w:p>
    <w:p>
      <w:pPr>
        <w:spacing w:before="80" w:after="80"/>
      </w:pPr>
      <w:r>
        <w:rPr>
          <w:rFonts w:ascii="Gotham" w:cs="Gotham" w:eastAsia="Gotham" w:hAnsi="Gotham"/>
          <w:color w:val="0F172A"/>
          <w:sz w:val="22"/>
          <w:szCs w:val="22"/>
        </w:rPr>
        <w:t xml:space="preserve">Without data, you cannot course correct. The log is not a task. It is how you stop making the same mistake twice.</w:t>
      </w:r>
    </w:p>
    <w:p>
      <w:pPr>
        <w:pBdr>
          <w:bottom w:val="single" w:color="E2E8F0" w:sz="1" w:space="1"/>
        </w:pBdr>
        <w:spacing w:before="240" w:after="240"/>
      </w:pPr>
      <w:r>
        <w:t xml:space="preserve"/>
      </w:r>
    </w:p>
    <w:p>
      <w:pPr>
        <w:spacing w:before="240" w:after="80"/>
        <w:jc w:val="center"/>
      </w:pPr>
      <w:r>
        <w:rPr>
          <w:rFonts w:ascii="Gotham" w:cs="Gotham" w:eastAsia="Gotham" w:hAnsi="Gotham"/>
          <w:b/>
          <w:bCs/>
          <w:color w:val="16A34A"/>
          <w:sz w:val="20"/>
          <w:szCs w:val="20"/>
        </w:rPr>
        <w:t xml:space="preserve">crackverbal.com</w:t>
      </w:r>
    </w:p>
    <w:p>
      <w:pPr>
        <w:spacing w:before="0" w:after="0"/>
        <w:jc w:val="center"/>
      </w:pPr>
      <w:r>
        <w:rPr>
          <w:rFonts w:ascii="Gotham" w:cs="Gotham" w:eastAsia="Gotham" w:hAnsi="Gotham"/>
          <w:i/>
          <w:iCs/>
          <w:color w:val="94A3B8"/>
          <w:sz w:val="18"/>
          <w:szCs w:val="18"/>
        </w:rPr>
        <w:t xml:space="preserve">This document is based on a live session with Nithya conducted on March 22, 2026.</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60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otham" w:cs="Gotham" w:eastAsia="Gotham" w:hAnsi="Gotham"/>
        <w:color w:val="0F172A"/>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2026-03-23T06:13:02.846Z</dcterms:created>
  <dcterms:modified xsi:type="dcterms:W3CDTF">2026-03-23T06:13:02.847Z</dcterms:modified>
</cp:coreProperties>
</file>

<file path=docProps/custom.xml><?xml version="1.0" encoding="utf-8"?>
<Properties xmlns="http://schemas.openxmlformats.org/officeDocument/2006/custom-properties" xmlns:vt="http://schemas.openxmlformats.org/officeDocument/2006/docPropsVTypes"/>
</file>