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500"/>
        <w:gridCol w:w="2860"/>
      </w:tblGrid>
      <w:tr>
        <w:tc>
          <w:tcPr>
            <w:tcW w:type="dxa" w:w="6500"/>
            <w:tcBorders>
              <w:top w:val="none" w:color="FFFFFF" w:sz="0"/>
              <w:left w:val="none" w:color="FFFFFF" w:sz="0"/>
              <w:bottom w:val="none" w:color="FFFFFF" w:sz="0"/>
              <w:right w:val="none" w:color="FFFFFF" w:sz="0"/>
            </w:tcBorders>
            <w:shd w:fill="0F172A" w:val="clear"/>
            <w:tcMar>
              <w:top w:type="dxa" w:w="220"/>
              <w:left w:type="dxa" w:w="260"/>
              <w:bottom w:type="dxa" w:w="220"/>
              <w:right w:type="dxa" w:w="200"/>
            </w:tcMar>
            <w:vAlign w:val="center"/>
          </w:tcPr>
          <w:p>
            <w:pPr>
              <w:spacing w:after="60" w:before="0"/>
            </w:pPr>
            <w:r>
              <w:rPr>
                <w:rFonts w:ascii="Gotham" w:cs="Gotham" w:eastAsia="Gotham" w:hAnsi="Gotham"/>
                <w:b/>
                <w:bCs/>
                <w:color w:val="FFFFFF"/>
                <w:sz w:val="26"/>
                <w:szCs w:val="26"/>
              </w:rPr>
              <w:t xml:space="preserve">575 to 645. Full-Time Boeing Engineer.</w:t>
            </w:r>
          </w:p>
          <w:p>
            <w:pPr>
              <w:spacing w:after="0" w:before="0"/>
            </w:pPr>
            <w:r>
              <w:rPr>
                <w:rFonts w:ascii="Gotham" w:cs="Gotham" w:eastAsia="Gotham" w:hAnsi="Gotham"/>
                <w:b/>
                <w:bCs/>
                <w:color w:val="16A34A"/>
                <w:sz w:val="23"/>
                <w:szCs w:val="23"/>
              </w:rPr>
              <w:t xml:space="preserve">MIT Admit. $100K Fellowship. 73 Days.</w:t>
            </w:r>
          </w:p>
        </w:tc>
        <w:tc>
          <w:tcPr>
            <w:tcW w:type="dxa" w:w="2860"/>
            <w:tcBorders>
              <w:top w:val="none" w:color="FFFFFF" w:sz="0"/>
              <w:left w:val="none" w:color="FFFFFF" w:sz="0"/>
              <w:bottom w:val="none" w:color="FFFFFF" w:sz="0"/>
              <w:right w:val="none" w:color="FFFFFF" w:sz="0"/>
            </w:tcBorders>
            <w:shd w:fill="16A34A" w:val="clear"/>
            <w:tcMar>
              <w:top w:type="dxa" w:w="120"/>
              <w:left w:type="dxa" w:w="160"/>
              <w:bottom w:type="dxa" w:w="120"/>
              <w:right w:type="dxa" w:w="160"/>
            </w:tcMar>
            <w:vAlign w:val="center"/>
          </w:tcPr>
          <w:p>
            <w:pPr>
              <w:spacing w:after="10" w:before="0"/>
              <w:jc w:val="center"/>
            </w:pPr>
            <w:r>
              <w:rPr>
                <w:rFonts w:ascii="Gotham" w:cs="Gotham" w:eastAsia="Gotham" w:hAnsi="Gotham"/>
                <w:b/>
                <w:bCs/>
                <w:color w:val="FFFFFF"/>
                <w:sz w:val="15"/>
                <w:szCs w:val="15"/>
              </w:rPr>
              <w:t xml:space="preserve">FINAL SCORE</w:t>
            </w:r>
          </w:p>
          <w:p>
            <w:pPr>
              <w:spacing w:after="10" w:before="0"/>
              <w:jc w:val="center"/>
            </w:pPr>
            <w:r>
              <w:rPr>
                <w:rFonts w:ascii="Gotham" w:cs="Gotham" w:eastAsia="Gotham" w:hAnsi="Gotham"/>
                <w:b/>
                <w:bCs/>
                <w:color w:val="FFFFFF"/>
                <w:sz w:val="64"/>
                <w:szCs w:val="64"/>
              </w:rPr>
              <w:t xml:space="preserve">645</w:t>
            </w:r>
          </w:p>
          <w:p>
            <w:pPr>
              <w:spacing w:after="0" w:before="0"/>
              <w:jc w:val="center"/>
            </w:pPr>
            <w:r>
              <w:rPr>
                <w:rFonts w:ascii="Gotham" w:cs="Gotham" w:eastAsia="Gotham" w:hAnsi="Gotham"/>
                <w:color w:val="DCFCE7"/>
                <w:sz w:val="14"/>
                <w:szCs w:val="14"/>
              </w:rPr>
              <w:t xml:space="preserve">Oct 14, 2025  |  Official</w:t>
            </w:r>
          </w:p>
        </w:tc>
      </w:tr>
    </w:tbl>
    <w:p>
      <w:pPr>
        <w:spacing w:after="0" w:before="160"/>
      </w:pPr>
    </w:p>
    <w:p>
      <w:pPr>
        <w:spacing w:after="60" w:before="60"/>
      </w:pPr>
      <w:r>
        <w:rPr>
          <w:rFonts w:ascii="Gotham" w:cs="Gotham" w:eastAsia="Gotham" w:hAnsi="Gotham"/>
          <w:color w:val="0F172A"/>
          <w:sz w:val="19"/>
          <w:szCs w:val="19"/>
        </w:rPr>
        <w:t xml:space="preserve">She joined Crack</w:t>
      </w:r>
      <w:r>
        <w:rPr>
          <w:rFonts w:ascii="Gotham" w:cs="Gotham" w:eastAsia="Gotham" w:hAnsi="Gotham"/>
          <w:b/>
          <w:bCs/>
          <w:color w:val="16A34A"/>
          <w:sz w:val="19"/>
          <w:szCs w:val="19"/>
        </w:rPr>
        <w:t xml:space="preserve">v</w:t>
      </w:r>
      <w:r>
        <w:rPr>
          <w:rFonts w:ascii="Gotham" w:cs="Gotham" w:eastAsia="Gotham" w:hAnsi="Gotham"/>
          <w:color w:val="0F172A"/>
          <w:sz w:val="19"/>
          <w:szCs w:val="19"/>
        </w:rPr>
        <w:t xml:space="preserve">erbal on August 2, 2025. A full-time Boeing engineer in Bangalore, managing long commutes, work trainings, and a prep schedule that had to bend around all of it. She never cancelled. She rescheduled.</w:t>
      </w:r>
    </w:p>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
        <w:gridCol w:w="9240"/>
      </w:tblGrid>
      <w:tr>
        <w:tc>
          <w:tcPr>
            <w:tcW w:type="dxa" w:w="120"/>
            <w:tcBorders>
              <w:top w:val="none" w:color="FFFFFF" w:sz="0"/>
              <w:left w:val="none" w:color="FFFFFF" w:sz="0"/>
              <w:bottom w:val="none" w:color="FFFFFF" w:sz="0"/>
              <w:right w:val="none" w:color="FFFFFF" w:sz="0"/>
            </w:tcBorders>
            <w:shd w:fill="2563EB" w:val="clear"/>
            <w:tcMar>
              <w:top w:type="dxa" w:w="0"/>
              <w:left w:type="dxa" w:w="0"/>
              <w:bottom w:type="dxa" w:w="0"/>
              <w:right w:type="dxa" w:w="0"/>
            </w:tcMar>
          </w:tcPr>
          <w:p/>
        </w:tc>
        <w:tc>
          <w:tcPr>
            <w:tcW w:type="dxa" w:w="9240"/>
            <w:tcBorders>
              <w:top w:val="none" w:color="FFFFFF" w:sz="0"/>
              <w:left w:val="none" w:color="FFFFFF" w:sz="0"/>
              <w:bottom w:val="none" w:color="FFFFFF" w:sz="0"/>
              <w:right w:val="none" w:color="FFFFFF" w:sz="0"/>
            </w:tcBorders>
            <w:shd w:fill="F8FAFC" w:val="clear"/>
            <w:tcMar>
              <w:top w:type="dxa" w:w="120"/>
              <w:left w:type="dxa" w:w="200"/>
              <w:bottom w:type="dxa" w:w="120"/>
              <w:right w:type="dxa" w:w="200"/>
            </w:tcMar>
          </w:tcPr>
          <w:p>
            <w:pPr>
              <w:spacing w:after="40" w:before="0"/>
            </w:pPr>
            <w:r>
              <w:rPr>
                <w:rFonts w:ascii="Gotham" w:cs="Gotham" w:eastAsia="Gotham" w:hAnsi="Gotham"/>
                <w:i/>
                <w:iCs/>
                <w:color w:val="0F172A"/>
                <w:sz w:val="18"/>
                <w:szCs w:val="18"/>
              </w:rPr>
              <w:t xml:space="preserve">"I have been entered into a training at work tomorrow. I'll come by 6 but traffic is very bad. Can we postpone to Thursday? I can work my schedule around your convenience. So sorry about this."</w:t>
            </w:r>
          </w:p>
          <w:p>
            <w:pPr>
              <w:spacing w:after="0" w:before="0"/>
            </w:pPr>
            <w:r>
              <w:rPr>
                <w:rFonts w:ascii="Gotham" w:cs="Gotham" w:eastAsia="Gotham" w:hAnsi="Gotham"/>
                <w:b/>
                <w:bCs/>
                <w:color w:val="2563EB"/>
                <w:sz w:val="15"/>
                <w:szCs w:val="15"/>
              </w:rPr>
              <w:t xml:space="preserve">— Anushka, to her mentor Nitha J</w:t>
            </w:r>
          </w:p>
        </w:tc>
      </w:tr>
    </w:tbl>
    <w:p>
      <w:pPr>
        <w:spacing w:after="0" w:before="80"/>
      </w:pPr>
    </w:p>
    <w:p>
      <w:pPr>
        <w:spacing w:after="60" w:before="60"/>
      </w:pPr>
      <w:r>
        <w:rPr>
          <w:rFonts w:ascii="Gotham" w:cs="Gotham" w:eastAsia="Gotham" w:hAnsi="Gotham"/>
          <w:color w:val="0F172A"/>
          <w:sz w:val="19"/>
          <w:szCs w:val="19"/>
        </w:rPr>
        <w:t xml:space="preserve">Her first mock came back 575. Not panic. Just one honest question:</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
        <w:gridCol w:w="9240"/>
      </w:tblGrid>
      <w:tr>
        <w:tc>
          <w:tcPr>
            <w:tcW w:type="dxa" w:w="120"/>
            <w:tcBorders>
              <w:top w:val="none" w:color="FFFFFF" w:sz="0"/>
              <w:left w:val="none" w:color="FFFFFF" w:sz="0"/>
              <w:bottom w:val="none" w:color="FFFFFF" w:sz="0"/>
              <w:right w:val="none" w:color="FFFFFF" w:sz="0"/>
            </w:tcBorders>
            <w:shd w:fill="16A34A" w:val="clear"/>
            <w:tcMar>
              <w:top w:type="dxa" w:w="0"/>
              <w:left w:type="dxa" w:w="0"/>
              <w:bottom w:type="dxa" w:w="0"/>
              <w:right w:type="dxa" w:w="0"/>
            </w:tcMar>
          </w:tcPr>
          <w:p/>
        </w:tc>
        <w:tc>
          <w:tcPr>
            <w:tcW w:type="dxa" w:w="9240"/>
            <w:tcBorders>
              <w:top w:val="none" w:color="FFFFFF" w:sz="0"/>
              <w:left w:val="none" w:color="FFFFFF" w:sz="0"/>
              <w:bottom w:val="none" w:color="FFFFFF" w:sz="0"/>
              <w:right w:val="none" w:color="FFFFFF" w:sz="0"/>
            </w:tcBorders>
            <w:shd w:fill="F8FAFC" w:val="clear"/>
            <w:tcMar>
              <w:top w:type="dxa" w:w="120"/>
              <w:left w:type="dxa" w:w="200"/>
              <w:bottom w:type="dxa" w:w="120"/>
              <w:right w:type="dxa" w:w="200"/>
            </w:tcMar>
          </w:tcPr>
          <w:p>
            <w:pPr>
              <w:spacing w:after="40" w:before="0"/>
            </w:pPr>
            <w:r>
              <w:rPr>
                <w:rFonts w:ascii="Gotham" w:cs="Gotham" w:eastAsia="Gotham" w:hAnsi="Gotham"/>
                <w:i/>
                <w:iCs/>
                <w:color w:val="0F172A"/>
                <w:sz w:val="18"/>
                <w:szCs w:val="18"/>
              </w:rPr>
              <w:t xml:space="preserve">"DI I got tensed and was short of time. But verbal and quant were in time. Actually verbal I could answer most of the questions with logic. Wonder where I went wrong."</w:t>
            </w:r>
          </w:p>
          <w:p>
            <w:pPr>
              <w:spacing w:after="0" w:before="0"/>
            </w:pPr>
            <w:r>
              <w:rPr>
                <w:rFonts w:ascii="Gotham" w:cs="Gotham" w:eastAsia="Gotham" w:hAnsi="Gotham"/>
                <w:b/>
                <w:bCs/>
                <w:color w:val="16A34A"/>
                <w:sz w:val="15"/>
                <w:szCs w:val="15"/>
              </w:rPr>
              <w:t xml:space="preserve">— Anushka, after Mock 1</w:t>
            </w:r>
          </w:p>
        </w:tc>
      </w:tr>
    </w:tbl>
    <w:p>
      <w:pPr>
        <w:spacing w:after="0" w:before="80"/>
      </w:pPr>
    </w:p>
    <w:p>
      <w:pPr>
        <w:spacing w:after="60" w:before="60"/>
      </w:pPr>
      <w:r>
        <w:rPr>
          <w:rFonts w:ascii="Gotham" w:cs="Gotham" w:eastAsia="Gotham" w:hAnsi="Gotham"/>
          <w:color w:val="0F172A"/>
          <w:sz w:val="19"/>
          <w:szCs w:val="19"/>
        </w:rPr>
        <w:t xml:space="preserve">That question — asked honestly, not defensively — is what the next 73 days were built on. Mock 2 shot up to 655. Mock 3 fell back to 625.</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
        <w:gridCol w:w="9240"/>
      </w:tblGrid>
      <w:tr>
        <w:tc>
          <w:tcPr>
            <w:tcW w:type="dxa" w:w="120"/>
            <w:tcBorders>
              <w:top w:val="none" w:color="FFFFFF" w:sz="0"/>
              <w:left w:val="none" w:color="FFFFFF" w:sz="0"/>
              <w:bottom w:val="none" w:color="FFFFFF" w:sz="0"/>
              <w:right w:val="none" w:color="FFFFFF" w:sz="0"/>
            </w:tcBorders>
            <w:shd w:fill="2563EB" w:val="clear"/>
            <w:tcMar>
              <w:top w:type="dxa" w:w="0"/>
              <w:left w:type="dxa" w:w="0"/>
              <w:bottom w:type="dxa" w:w="0"/>
              <w:right w:type="dxa" w:w="0"/>
            </w:tcMar>
          </w:tcPr>
          <w:p/>
        </w:tc>
        <w:tc>
          <w:tcPr>
            <w:tcW w:type="dxa" w:w="9240"/>
            <w:tcBorders>
              <w:top w:val="none" w:color="FFFFFF" w:sz="0"/>
              <w:left w:val="none" w:color="FFFFFF" w:sz="0"/>
              <w:bottom w:val="none" w:color="FFFFFF" w:sz="0"/>
              <w:right w:val="none" w:color="FFFFFF" w:sz="0"/>
            </w:tcBorders>
            <w:shd w:fill="F8FAFC" w:val="clear"/>
            <w:tcMar>
              <w:top w:type="dxa" w:w="120"/>
              <w:left w:type="dxa" w:w="200"/>
              <w:bottom w:type="dxa" w:w="120"/>
              <w:right w:type="dxa" w:w="200"/>
            </w:tcMar>
          </w:tcPr>
          <w:p>
            <w:pPr>
              <w:spacing w:after="40" w:before="0"/>
            </w:pPr>
            <w:r>
              <w:rPr>
                <w:rFonts w:ascii="Gotham" w:cs="Gotham" w:eastAsia="Gotham" w:hAnsi="Gotham"/>
                <w:i/>
                <w:iCs/>
                <w:color w:val="0F172A"/>
                <w:sz w:val="18"/>
                <w:szCs w:val="18"/>
              </w:rPr>
              <w:t xml:space="preserve">"Still good — we can expect a minimum +20 in the actual, and you will anyways put in more effort."</w:t>
            </w:r>
          </w:p>
          <w:p>
            <w:pPr>
              <w:spacing w:after="0" w:before="0"/>
            </w:pPr>
            <w:r>
              <w:rPr>
                <w:rFonts w:ascii="Gotham" w:cs="Gotham" w:eastAsia="Gotham" w:hAnsi="Gotham"/>
                <w:b/>
                <w:bCs/>
                <w:color w:val="2563EB"/>
                <w:sz w:val="15"/>
                <w:szCs w:val="15"/>
              </w:rPr>
              <w:t xml:space="preserve">— Devmitra Sen, after Mock 3</w:t>
            </w:r>
          </w:p>
        </w:tc>
      </w:tr>
    </w:tbl>
    <w:p>
      <w:pPr>
        <w:spacing w:after="0" w:before="80"/>
      </w:pPr>
    </w:p>
    <w:p>
      <w:pPr>
        <w:spacing w:after="60" w:before="60"/>
      </w:pPr>
      <w:r>
        <w:rPr>
          <w:rFonts w:ascii="Gotham" w:cs="Gotham" w:eastAsia="Gotham" w:hAnsi="Gotham"/>
          <w:color w:val="0F172A"/>
          <w:sz w:val="19"/>
          <w:szCs w:val="19"/>
        </w:rPr>
        <w:t xml:space="preserve">On October 14, she walked out with a 645. Devmitra's call landed almost to the point. Then in February 2026, she got into MIT's LGO program with a $100,000 fellowship.</w:t>
      </w:r>
    </w:p>
    <w:p>
      <w:pPr>
        <w:spacing w:after="0" w:before="2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none"/>
              <w:left w:val="none"/>
              <w:bottom w:val="none"/>
              <w:right w:val="none"/>
            </w:tcBorders>
            <w:shd w:fill="F8FAFC" w:val="clear"/>
            <w:tcMar>
              <w:top w:type="dxa" w:w="100"/>
              <w:left w:type="dxa" w:w="140"/>
              <w:bottom w:type="dxa" w:w="100"/>
              <w:right w:type="dxa" w:w="140"/>
            </w:tcMar>
          </w:tcPr>
          <w:p>
            <w:pPr>
              <w:spacing w:after="20" w:before="0"/>
              <w:jc w:val="center"/>
            </w:pPr>
            <w:r>
              <w:rPr>
                <w:rFonts w:ascii="Gotham" w:cs="Gotham" w:eastAsia="Gotham" w:hAnsi="Gotham"/>
                <w:b/>
                <w:bCs/>
                <w:color w:val="888888"/>
                <w:sz w:val="15"/>
                <w:szCs w:val="15"/>
              </w:rPr>
              <w:t xml:space="preserve">Mock 1</w:t>
            </w:r>
          </w:p>
          <w:p>
            <w:pPr>
              <w:jc w:val="center"/>
            </w:pPr>
            <w:r>
              <w:rPr>
                <w:rFonts w:ascii="Gotham" w:cs="Gotham" w:eastAsia="Gotham" w:hAnsi="Gotham"/>
                <w:b/>
                <w:bCs/>
                <w:color w:val="888888"/>
                <w:sz w:val="32"/>
                <w:szCs w:val="32"/>
              </w:rPr>
              <w:t xml:space="preserve">575</w:t>
            </w:r>
          </w:p>
        </w:tc>
        <w:tc>
          <w:tcPr>
            <w:tcW w:type="dxa" w:w="2340"/>
            <w:tcBorders>
              <w:top w:val="none"/>
              <w:left w:val="none"/>
              <w:bottom w:val="none"/>
              <w:right w:val="none"/>
            </w:tcBorders>
            <w:shd w:fill="DBEAFE" w:val="clear"/>
            <w:tcMar>
              <w:top w:type="dxa" w:w="100"/>
              <w:left w:type="dxa" w:w="140"/>
              <w:bottom w:type="dxa" w:w="100"/>
              <w:right w:type="dxa" w:w="140"/>
            </w:tcMar>
          </w:tcPr>
          <w:p>
            <w:pPr>
              <w:spacing w:after="20" w:before="0"/>
              <w:jc w:val="center"/>
            </w:pPr>
            <w:r>
              <w:rPr>
                <w:rFonts w:ascii="Gotham" w:cs="Gotham" w:eastAsia="Gotham" w:hAnsi="Gotham"/>
                <w:b/>
                <w:bCs/>
                <w:color w:val="2563EB"/>
                <w:sz w:val="15"/>
                <w:szCs w:val="15"/>
              </w:rPr>
              <w:t xml:space="preserve">Mock 2</w:t>
            </w:r>
          </w:p>
          <w:p>
            <w:pPr>
              <w:jc w:val="center"/>
            </w:pPr>
            <w:r>
              <w:rPr>
                <w:rFonts w:ascii="Gotham" w:cs="Gotham" w:eastAsia="Gotham" w:hAnsi="Gotham"/>
                <w:b/>
                <w:bCs/>
                <w:color w:val="2563EB"/>
                <w:sz w:val="32"/>
                <w:szCs w:val="32"/>
              </w:rPr>
              <w:t xml:space="preserve">655</w:t>
            </w:r>
          </w:p>
        </w:tc>
        <w:tc>
          <w:tcPr>
            <w:tcW w:type="dxa" w:w="2340"/>
            <w:tcBorders>
              <w:top w:val="none"/>
              <w:left w:val="none"/>
              <w:bottom w:val="none"/>
              <w:right w:val="none"/>
            </w:tcBorders>
            <w:shd w:fill="DBEAFE" w:val="clear"/>
            <w:tcMar>
              <w:top w:type="dxa" w:w="100"/>
              <w:left w:type="dxa" w:w="140"/>
              <w:bottom w:type="dxa" w:w="100"/>
              <w:right w:type="dxa" w:w="140"/>
            </w:tcMar>
          </w:tcPr>
          <w:p>
            <w:pPr>
              <w:spacing w:after="20" w:before="0"/>
              <w:jc w:val="center"/>
            </w:pPr>
            <w:r>
              <w:rPr>
                <w:rFonts w:ascii="Gotham" w:cs="Gotham" w:eastAsia="Gotham" w:hAnsi="Gotham"/>
                <w:b/>
                <w:bCs/>
                <w:color w:val="2563EB"/>
                <w:sz w:val="15"/>
                <w:szCs w:val="15"/>
              </w:rPr>
              <w:t xml:space="preserve">Mock 3</w:t>
            </w:r>
          </w:p>
          <w:p>
            <w:pPr>
              <w:jc w:val="center"/>
            </w:pPr>
            <w:r>
              <w:rPr>
                <w:rFonts w:ascii="Gotham" w:cs="Gotham" w:eastAsia="Gotham" w:hAnsi="Gotham"/>
                <w:b/>
                <w:bCs/>
                <w:color w:val="2563EB"/>
                <w:sz w:val="32"/>
                <w:szCs w:val="32"/>
              </w:rPr>
              <w:t xml:space="preserve">625</w:t>
            </w:r>
          </w:p>
        </w:tc>
        <w:tc>
          <w:tcPr>
            <w:tcW w:type="dxa" w:w="2340"/>
            <w:tcBorders>
              <w:top w:val="none"/>
              <w:left w:val="none"/>
              <w:bottom w:val="none"/>
              <w:right w:val="none"/>
            </w:tcBorders>
            <w:shd w:fill="DCFCE7" w:val="clear"/>
            <w:tcMar>
              <w:top w:type="dxa" w:w="100"/>
              <w:left w:type="dxa" w:w="140"/>
              <w:bottom w:type="dxa" w:w="100"/>
              <w:right w:type="dxa" w:w="140"/>
            </w:tcMar>
          </w:tcPr>
          <w:p>
            <w:pPr>
              <w:spacing w:after="20" w:before="0"/>
              <w:jc w:val="center"/>
            </w:pPr>
            <w:r>
              <w:rPr>
                <w:rFonts w:ascii="Gotham" w:cs="Gotham" w:eastAsia="Gotham" w:hAnsi="Gotham"/>
                <w:b/>
                <w:bCs/>
                <w:color w:val="16A34A"/>
                <w:sz w:val="15"/>
                <w:szCs w:val="15"/>
              </w:rPr>
              <w:t xml:space="preserve">Official</w:t>
            </w:r>
          </w:p>
          <w:p>
            <w:pPr>
              <w:jc w:val="center"/>
            </w:pPr>
            <w:r>
              <w:rPr>
                <w:rFonts w:ascii="Gotham" w:cs="Gotham" w:eastAsia="Gotham" w:hAnsi="Gotham"/>
                <w:b/>
                <w:bCs/>
                <w:color w:val="16A34A"/>
                <w:sz w:val="32"/>
                <w:szCs w:val="32"/>
              </w:rPr>
              <w:t xml:space="preserve">645</w:t>
            </w:r>
          </w:p>
        </w:tc>
      </w:tr>
    </w:tbl>
    <w:p>
      <w:pPr>
        <w:spacing w:after="0" w:before="2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0F172A" w:val="clear"/>
            <w:tcMar>
              <w:top w:type="dxa" w:w="160"/>
              <w:left w:type="dxa" w:w="240"/>
              <w:bottom w:type="dxa" w:w="160"/>
              <w:right w:type="dxa" w:w="240"/>
            </w:tcMar>
          </w:tcPr>
          <w:p>
            <w:r>
              <w:rPr>
                <w:rFonts w:ascii="Gotham" w:cs="Gotham" w:eastAsia="Gotham" w:hAnsi="Gotham"/>
                <w:b/>
                <w:bCs/>
                <w:color w:val="FFFFFF"/>
                <w:sz w:val="26"/>
                <w:szCs w:val="26"/>
              </w:rPr>
              <w:t xml:space="preserve">The Numbers</w:t>
            </w:r>
          </w:p>
        </w:tc>
      </w:tr>
    </w:tbl>
    <w:p>
      <w:pPr>
        <w:spacing w:after="0" w:before="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E2E8F0" w:sz="1"/>
              <w:left w:val="single" w:color="E2E8F0" w:sz="1"/>
              <w:bottom w:val="single" w:color="E2E8F0" w:sz="1"/>
              <w:right w:val="single" w:color="E2E8F0" w:sz="1"/>
            </w:tcBorders>
            <w:shd w:fill="0F172A" w:val="clear"/>
            <w:tcMar>
              <w:top w:type="dxa" w:w="100"/>
              <w:left w:type="dxa" w:w="140"/>
              <w:bottom w:type="dxa" w:w="100"/>
              <w:right w:type="dxa" w:w="140"/>
            </w:tcMar>
          </w:tcPr>
          <w:p>
            <w:r>
              <w:rPr>
                <w:rFonts w:ascii="Gotham" w:cs="Gotham" w:eastAsia="Gotham" w:hAnsi="Gotham"/>
                <w:b/>
                <w:bCs/>
                <w:color w:val="FFFFFF"/>
                <w:sz w:val="19"/>
                <w:szCs w:val="19"/>
              </w:rPr>
              <w:t xml:space="preserve">Section</w:t>
            </w:r>
          </w:p>
        </w:tc>
        <w:tc>
          <w:tcPr>
            <w:tcW w:type="dxa" w:w="2340"/>
            <w:tcBorders>
              <w:top w:val="single" w:color="E2E8F0" w:sz="1"/>
              <w:left w:val="single" w:color="E2E8F0" w:sz="1"/>
              <w:bottom w:val="single" w:color="E2E8F0" w:sz="1"/>
              <w:right w:val="single" w:color="E2E8F0" w:sz="1"/>
            </w:tcBorders>
            <w:shd w:fill="0F172A" w:val="clear"/>
            <w:tcMar>
              <w:top w:type="dxa" w:w="100"/>
              <w:left w:type="dxa" w:w="140"/>
              <w:bottom w:type="dxa" w:w="100"/>
              <w:right w:type="dxa" w:w="140"/>
            </w:tcMar>
          </w:tcPr>
          <w:p>
            <w:pPr>
              <w:jc w:val="center"/>
            </w:pPr>
            <w:r>
              <w:rPr>
                <w:rFonts w:ascii="Gotham" w:cs="Gotham" w:eastAsia="Gotham" w:hAnsi="Gotham"/>
                <w:b/>
                <w:bCs/>
                <w:color w:val="FFFFFF"/>
                <w:sz w:val="19"/>
                <w:szCs w:val="19"/>
              </w:rPr>
              <w:t xml:space="preserve">Before  (575)</w:t>
            </w:r>
          </w:p>
        </w:tc>
        <w:tc>
          <w:tcPr>
            <w:tcW w:type="dxa" w:w="2340"/>
            <w:tcBorders>
              <w:top w:val="single" w:color="E2E8F0" w:sz="1"/>
              <w:left w:val="single" w:color="E2E8F0" w:sz="1"/>
              <w:bottom w:val="single" w:color="E2E8F0" w:sz="1"/>
              <w:right w:val="single" w:color="E2E8F0" w:sz="1"/>
            </w:tcBorders>
            <w:shd w:fill="16A34A" w:val="clear"/>
            <w:tcMar>
              <w:top w:type="dxa" w:w="100"/>
              <w:left w:type="dxa" w:w="140"/>
              <w:bottom w:type="dxa" w:w="100"/>
              <w:right w:type="dxa" w:w="140"/>
            </w:tcMar>
          </w:tcPr>
          <w:p>
            <w:pPr>
              <w:jc w:val="center"/>
            </w:pPr>
            <w:r>
              <w:rPr>
                <w:rFonts w:ascii="Gotham" w:cs="Gotham" w:eastAsia="Gotham" w:hAnsi="Gotham"/>
                <w:b/>
                <w:bCs/>
                <w:color w:val="FFFFFF"/>
                <w:sz w:val="19"/>
                <w:szCs w:val="19"/>
              </w:rPr>
              <w:t xml:space="preserve">After  (645)</w:t>
            </w:r>
          </w:p>
        </w:tc>
        <w:tc>
          <w:tcPr>
            <w:tcW w:type="dxa" w:w="2340"/>
            <w:tcBorders>
              <w:top w:val="single" w:color="E2E8F0" w:sz="1"/>
              <w:left w:val="single" w:color="E2E8F0" w:sz="1"/>
              <w:bottom w:val="single" w:color="E2E8F0" w:sz="1"/>
              <w:right w:val="single" w:color="E2E8F0" w:sz="1"/>
            </w:tcBorders>
            <w:shd w:fill="16A34A" w:val="clear"/>
            <w:tcMar>
              <w:top w:type="dxa" w:w="100"/>
              <w:left w:type="dxa" w:w="140"/>
              <w:bottom w:type="dxa" w:w="100"/>
              <w:right w:type="dxa" w:w="140"/>
            </w:tcMar>
          </w:tcPr>
          <w:p>
            <w:pPr>
              <w:jc w:val="center"/>
            </w:pPr>
            <w:r>
              <w:rPr>
                <w:rFonts w:ascii="Gotham" w:cs="Gotham" w:eastAsia="Gotham" w:hAnsi="Gotham"/>
                <w:b/>
                <w:bCs/>
                <w:color w:val="FFFFFF"/>
                <w:sz w:val="19"/>
                <w:szCs w:val="19"/>
              </w:rPr>
              <w:t xml:space="preserve">Shift</w:t>
            </w:r>
          </w:p>
        </w:tc>
      </w:tr>
      <w:tr>
        <w:tc>
          <w:tcPr>
            <w:tcW w:type="dxa" w:w="2340"/>
            <w:tcBorders>
              <w:top w:val="single" w:color="E2E8F0" w:sz="1"/>
              <w:left w:val="single" w:color="E2E8F0" w:sz="1"/>
              <w:bottom w:val="single" w:color="E2E8F0" w:sz="1"/>
              <w:right w:val="single" w:color="E2E8F0" w:sz="1"/>
            </w:tcBorders>
            <w:shd w:fill="FFFFFF" w:val="clear"/>
            <w:tcMar>
              <w:top w:type="dxa" w:w="100"/>
              <w:left w:type="dxa" w:w="140"/>
              <w:bottom w:type="dxa" w:w="100"/>
              <w:right w:type="dxa" w:w="140"/>
            </w:tcMar>
            <w:vAlign w:val="center"/>
          </w:tcPr>
          <w:p>
            <w:pPr>
              <w:jc w:val="left"/>
            </w:pPr>
            <w:r>
              <w:rPr>
                <w:rFonts w:ascii="Gotham" w:cs="Gotham" w:eastAsia="Gotham" w:hAnsi="Gotham"/>
                <w:b w:val="false"/>
                <w:bCs w:val="false"/>
                <w:color w:val="0F172A"/>
                <w:sz w:val="19"/>
                <w:szCs w:val="19"/>
              </w:rPr>
              <w:t xml:space="preserve">Quant</w:t>
            </w:r>
          </w:p>
        </w:tc>
        <w:tc>
          <w:tcPr>
            <w:tcW w:type="dxa" w:w="2340"/>
            <w:tcBorders>
              <w:top w:val="single" w:color="E2E8F0" w:sz="1"/>
              <w:left w:val="single" w:color="E2E8F0" w:sz="1"/>
              <w:bottom w:val="single" w:color="E2E8F0" w:sz="1"/>
              <w:right w:val="single" w:color="E2E8F0" w:sz="1"/>
            </w:tcBorders>
            <w:shd w:fill="FFFFFF" w:val="clear"/>
            <w:tcMar>
              <w:top w:type="dxa" w:w="100"/>
              <w:left w:type="dxa" w:w="140"/>
              <w:bottom w:type="dxa" w:w="100"/>
              <w:right w:type="dxa" w:w="140"/>
            </w:tcMar>
            <w:vAlign w:val="center"/>
          </w:tcPr>
          <w:p>
            <w:pPr>
              <w:jc w:val="center"/>
            </w:pPr>
            <w:r>
              <w:rPr>
                <w:rFonts w:ascii="Gotham" w:cs="Gotham" w:eastAsia="Gotham" w:hAnsi="Gotham"/>
                <w:b w:val="false"/>
                <w:bCs w:val="false"/>
                <w:color w:val="0F172A"/>
                <w:sz w:val="19"/>
                <w:szCs w:val="19"/>
              </w:rPr>
              <w:t xml:space="preserve">80  (64th %ile)</w:t>
            </w:r>
          </w:p>
        </w:tc>
        <w:tc>
          <w:tcPr>
            <w:tcW w:type="dxa" w:w="2340"/>
            <w:tcBorders>
              <w:top w:val="single" w:color="E2E8F0" w:sz="1"/>
              <w:left w:val="single" w:color="E2E8F0" w:sz="1"/>
              <w:bottom w:val="single" w:color="E2E8F0" w:sz="1"/>
              <w:right w:val="single" w:color="E2E8F0" w:sz="1"/>
            </w:tcBorders>
            <w:shd w:fill="FFFFFF" w:val="clear"/>
            <w:tcMar>
              <w:top w:type="dxa" w:w="100"/>
              <w:left w:type="dxa" w:w="140"/>
              <w:bottom w:type="dxa" w:w="100"/>
              <w:right w:type="dxa" w:w="140"/>
            </w:tcMar>
            <w:vAlign w:val="center"/>
          </w:tcPr>
          <w:p>
            <w:pPr>
              <w:jc w:val="center"/>
            </w:pPr>
            <w:r>
              <w:rPr>
                <w:rFonts w:ascii="Gotham" w:cs="Gotham" w:eastAsia="Gotham" w:hAnsi="Gotham"/>
                <w:b w:val="false"/>
                <w:bCs w:val="false"/>
                <w:color w:val="0F172A"/>
                <w:sz w:val="19"/>
                <w:szCs w:val="19"/>
              </w:rPr>
              <w:t xml:space="preserve">82  (75th %ile)</w:t>
            </w:r>
          </w:p>
        </w:tc>
        <w:tc>
          <w:tcPr>
            <w:tcW w:type="dxa" w:w="2340"/>
            <w:tcBorders>
              <w:top w:val="single" w:color="E2E8F0" w:sz="1"/>
              <w:left w:val="single" w:color="E2E8F0" w:sz="1"/>
              <w:bottom w:val="single" w:color="E2E8F0" w:sz="1"/>
              <w:right w:val="single" w:color="E2E8F0" w:sz="1"/>
            </w:tcBorders>
            <w:shd w:fill="FFFFFF" w:val="clear"/>
            <w:tcMar>
              <w:top w:type="dxa" w:w="100"/>
              <w:left w:type="dxa" w:w="140"/>
              <w:bottom w:type="dxa" w:w="100"/>
              <w:right w:type="dxa" w:w="140"/>
            </w:tcMar>
            <w:vAlign w:val="center"/>
          </w:tcPr>
          <w:p>
            <w:pPr>
              <w:jc w:val="center"/>
            </w:pPr>
            <w:r>
              <w:rPr>
                <w:rFonts w:ascii="Gotham" w:cs="Gotham" w:eastAsia="Gotham" w:hAnsi="Gotham"/>
                <w:b/>
                <w:bCs/>
                <w:color w:val="16A34A"/>
                <w:sz w:val="19"/>
                <w:szCs w:val="19"/>
              </w:rPr>
              <w:t xml:space="preserve">+11 percentile pts</w:t>
            </w:r>
          </w:p>
        </w:tc>
      </w:tr>
      <w:tr>
        <w:tc>
          <w:tcPr>
            <w:tcW w:type="dxa" w:w="2340"/>
            <w:tcBorders>
              <w:top w:val="single" w:color="E2E8F0" w:sz="1"/>
              <w:left w:val="single" w:color="E2E8F0" w:sz="1"/>
              <w:bottom w:val="single" w:color="E2E8F0" w:sz="1"/>
              <w:right w:val="single" w:color="E2E8F0" w:sz="1"/>
            </w:tcBorders>
            <w:shd w:fill="F8FAFC" w:val="clear"/>
            <w:tcMar>
              <w:top w:type="dxa" w:w="100"/>
              <w:left w:type="dxa" w:w="140"/>
              <w:bottom w:type="dxa" w:w="100"/>
              <w:right w:type="dxa" w:w="140"/>
            </w:tcMar>
            <w:vAlign w:val="center"/>
          </w:tcPr>
          <w:p>
            <w:pPr>
              <w:jc w:val="left"/>
            </w:pPr>
            <w:r>
              <w:rPr>
                <w:rFonts w:ascii="Gotham" w:cs="Gotham" w:eastAsia="Gotham" w:hAnsi="Gotham"/>
                <w:b w:val="false"/>
                <w:bCs w:val="false"/>
                <w:color w:val="0F172A"/>
                <w:sz w:val="19"/>
                <w:szCs w:val="19"/>
              </w:rPr>
              <w:t xml:space="preserve">Verbal</w:t>
            </w:r>
          </w:p>
        </w:tc>
        <w:tc>
          <w:tcPr>
            <w:tcW w:type="dxa" w:w="2340"/>
            <w:tcBorders>
              <w:top w:val="single" w:color="E2E8F0" w:sz="1"/>
              <w:left w:val="single" w:color="E2E8F0" w:sz="1"/>
              <w:bottom w:val="single" w:color="E2E8F0" w:sz="1"/>
              <w:right w:val="single" w:color="E2E8F0" w:sz="1"/>
            </w:tcBorders>
            <w:shd w:fill="F8FAFC" w:val="clear"/>
            <w:tcMar>
              <w:top w:type="dxa" w:w="100"/>
              <w:left w:type="dxa" w:w="140"/>
              <w:bottom w:type="dxa" w:w="100"/>
              <w:right w:type="dxa" w:w="140"/>
            </w:tcMar>
            <w:vAlign w:val="center"/>
          </w:tcPr>
          <w:p>
            <w:pPr>
              <w:jc w:val="center"/>
            </w:pPr>
            <w:r>
              <w:rPr>
                <w:rFonts w:ascii="Gotham" w:cs="Gotham" w:eastAsia="Gotham" w:hAnsi="Gotham"/>
                <w:b w:val="false"/>
                <w:bCs w:val="false"/>
                <w:color w:val="0F172A"/>
                <w:sz w:val="19"/>
                <w:szCs w:val="19"/>
              </w:rPr>
              <w:t xml:space="preserve">79  (47th %ile)</w:t>
            </w:r>
          </w:p>
        </w:tc>
        <w:tc>
          <w:tcPr>
            <w:tcW w:type="dxa" w:w="2340"/>
            <w:tcBorders>
              <w:top w:val="single" w:color="E2E8F0" w:sz="1"/>
              <w:left w:val="single" w:color="E2E8F0" w:sz="1"/>
              <w:bottom w:val="single" w:color="E2E8F0" w:sz="1"/>
              <w:right w:val="single" w:color="E2E8F0" w:sz="1"/>
            </w:tcBorders>
            <w:shd w:fill="F8FAFC" w:val="clear"/>
            <w:tcMar>
              <w:top w:type="dxa" w:w="100"/>
              <w:left w:type="dxa" w:w="140"/>
              <w:bottom w:type="dxa" w:w="100"/>
              <w:right w:type="dxa" w:w="140"/>
            </w:tcMar>
            <w:vAlign w:val="center"/>
          </w:tcPr>
          <w:p>
            <w:pPr>
              <w:jc w:val="center"/>
            </w:pPr>
            <w:r>
              <w:rPr>
                <w:rFonts w:ascii="Gotham" w:cs="Gotham" w:eastAsia="Gotham" w:hAnsi="Gotham"/>
                <w:b w:val="false"/>
                <w:bCs w:val="false"/>
                <w:color w:val="0F172A"/>
                <w:sz w:val="19"/>
                <w:szCs w:val="19"/>
              </w:rPr>
              <w:t xml:space="preserve">83  (83rd %ile)</w:t>
            </w:r>
          </w:p>
        </w:tc>
        <w:tc>
          <w:tcPr>
            <w:tcW w:type="dxa" w:w="2340"/>
            <w:tcBorders>
              <w:top w:val="single" w:color="E2E8F0" w:sz="1"/>
              <w:left w:val="single" w:color="E2E8F0" w:sz="1"/>
              <w:bottom w:val="single" w:color="E2E8F0" w:sz="1"/>
              <w:right w:val="single" w:color="E2E8F0" w:sz="1"/>
            </w:tcBorders>
            <w:shd w:fill="F8FAFC" w:val="clear"/>
            <w:tcMar>
              <w:top w:type="dxa" w:w="100"/>
              <w:left w:type="dxa" w:w="140"/>
              <w:bottom w:type="dxa" w:w="100"/>
              <w:right w:type="dxa" w:w="140"/>
            </w:tcMar>
            <w:vAlign w:val="center"/>
          </w:tcPr>
          <w:p>
            <w:pPr>
              <w:jc w:val="center"/>
            </w:pPr>
            <w:r>
              <w:rPr>
                <w:rFonts w:ascii="Gotham" w:cs="Gotham" w:eastAsia="Gotham" w:hAnsi="Gotham"/>
                <w:b/>
                <w:bCs/>
                <w:color w:val="16A34A"/>
                <w:sz w:val="19"/>
                <w:szCs w:val="19"/>
              </w:rPr>
              <w:t xml:space="preserve">+36 percentile pts</w:t>
            </w:r>
          </w:p>
        </w:tc>
      </w:tr>
      <w:tr>
        <w:tc>
          <w:tcPr>
            <w:tcW w:type="dxa" w:w="2340"/>
            <w:tcBorders>
              <w:top w:val="single" w:color="E2E8F0" w:sz="1"/>
              <w:left w:val="single" w:color="E2E8F0" w:sz="1"/>
              <w:bottom w:val="single" w:color="E2E8F0" w:sz="1"/>
              <w:right w:val="single" w:color="E2E8F0" w:sz="1"/>
            </w:tcBorders>
            <w:shd w:fill="FFFFFF" w:val="clear"/>
            <w:tcMar>
              <w:top w:type="dxa" w:w="100"/>
              <w:left w:type="dxa" w:w="140"/>
              <w:bottom w:type="dxa" w:w="100"/>
              <w:right w:type="dxa" w:w="140"/>
            </w:tcMar>
            <w:vAlign w:val="center"/>
          </w:tcPr>
          <w:p>
            <w:pPr>
              <w:jc w:val="left"/>
            </w:pPr>
            <w:r>
              <w:rPr>
                <w:rFonts w:ascii="Gotham" w:cs="Gotham" w:eastAsia="Gotham" w:hAnsi="Gotham"/>
                <w:b w:val="false"/>
                <w:bCs w:val="false"/>
                <w:color w:val="0F172A"/>
                <w:sz w:val="19"/>
                <w:szCs w:val="19"/>
              </w:rPr>
              <w:t xml:space="preserve">Data Insights</w:t>
            </w:r>
          </w:p>
        </w:tc>
        <w:tc>
          <w:tcPr>
            <w:tcW w:type="dxa" w:w="2340"/>
            <w:tcBorders>
              <w:top w:val="single" w:color="E2E8F0" w:sz="1"/>
              <w:left w:val="single" w:color="E2E8F0" w:sz="1"/>
              <w:bottom w:val="single" w:color="E2E8F0" w:sz="1"/>
              <w:right w:val="single" w:color="E2E8F0" w:sz="1"/>
            </w:tcBorders>
            <w:shd w:fill="FFFFFF" w:val="clear"/>
            <w:tcMar>
              <w:top w:type="dxa" w:w="100"/>
              <w:left w:type="dxa" w:w="140"/>
              <w:bottom w:type="dxa" w:w="100"/>
              <w:right w:type="dxa" w:w="140"/>
            </w:tcMar>
            <w:vAlign w:val="center"/>
          </w:tcPr>
          <w:p>
            <w:pPr>
              <w:jc w:val="center"/>
            </w:pPr>
            <w:r>
              <w:rPr>
                <w:rFonts w:ascii="Gotham" w:cs="Gotham" w:eastAsia="Gotham" w:hAnsi="Gotham"/>
                <w:b w:val="false"/>
                <w:bCs w:val="false"/>
                <w:color w:val="0F172A"/>
                <w:sz w:val="19"/>
                <w:szCs w:val="19"/>
              </w:rPr>
              <w:t xml:space="preserve">77  (62nd %ile)</w:t>
            </w:r>
          </w:p>
        </w:tc>
        <w:tc>
          <w:tcPr>
            <w:tcW w:type="dxa" w:w="2340"/>
            <w:tcBorders>
              <w:top w:val="single" w:color="E2E8F0" w:sz="1"/>
              <w:left w:val="single" w:color="E2E8F0" w:sz="1"/>
              <w:bottom w:val="single" w:color="E2E8F0" w:sz="1"/>
              <w:right w:val="single" w:color="E2E8F0" w:sz="1"/>
            </w:tcBorders>
            <w:shd w:fill="FFFFFF" w:val="clear"/>
            <w:tcMar>
              <w:top w:type="dxa" w:w="100"/>
              <w:left w:type="dxa" w:w="140"/>
              <w:bottom w:type="dxa" w:w="100"/>
              <w:right w:type="dxa" w:w="140"/>
            </w:tcMar>
            <w:vAlign w:val="center"/>
          </w:tcPr>
          <w:p>
            <w:pPr>
              <w:jc w:val="center"/>
            </w:pPr>
            <w:r>
              <w:rPr>
                <w:rFonts w:ascii="Gotham" w:cs="Gotham" w:eastAsia="Gotham" w:hAnsi="Gotham"/>
                <w:b w:val="false"/>
                <w:bCs w:val="false"/>
                <w:color w:val="0F172A"/>
                <w:sz w:val="19"/>
                <w:szCs w:val="19"/>
              </w:rPr>
              <w:t xml:space="preserve">80  (83rd %ile)</w:t>
            </w:r>
          </w:p>
        </w:tc>
        <w:tc>
          <w:tcPr>
            <w:tcW w:type="dxa" w:w="2340"/>
            <w:tcBorders>
              <w:top w:val="single" w:color="E2E8F0" w:sz="1"/>
              <w:left w:val="single" w:color="E2E8F0" w:sz="1"/>
              <w:bottom w:val="single" w:color="E2E8F0" w:sz="1"/>
              <w:right w:val="single" w:color="E2E8F0" w:sz="1"/>
            </w:tcBorders>
            <w:shd w:fill="FFFFFF" w:val="clear"/>
            <w:tcMar>
              <w:top w:type="dxa" w:w="100"/>
              <w:left w:type="dxa" w:w="140"/>
              <w:bottom w:type="dxa" w:w="100"/>
              <w:right w:type="dxa" w:w="140"/>
            </w:tcMar>
            <w:vAlign w:val="center"/>
          </w:tcPr>
          <w:p>
            <w:pPr>
              <w:jc w:val="center"/>
            </w:pPr>
            <w:r>
              <w:rPr>
                <w:rFonts w:ascii="Gotham" w:cs="Gotham" w:eastAsia="Gotham" w:hAnsi="Gotham"/>
                <w:b/>
                <w:bCs/>
                <w:color w:val="16A34A"/>
                <w:sz w:val="19"/>
                <w:szCs w:val="19"/>
              </w:rPr>
              <w:t xml:space="preserve">+21 percentile pts</w:t>
            </w:r>
          </w:p>
        </w:tc>
      </w:tr>
    </w:tbl>
    <w:p>
      <w:pPr>
        <w:spacing w:after="0" w:before="2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0F172A" w:val="clear"/>
            <w:tcMar>
              <w:top w:type="dxa" w:w="160"/>
              <w:left w:type="dxa" w:w="240"/>
              <w:bottom w:type="dxa" w:w="160"/>
              <w:right w:type="dxa" w:w="240"/>
            </w:tcMar>
          </w:tcPr>
          <w:p>
            <w:r>
              <w:rPr>
                <w:rFonts w:ascii="Gotham" w:cs="Gotham" w:eastAsia="Gotham" w:hAnsi="Gotham"/>
                <w:b/>
                <w:bCs/>
                <w:color w:val="FFFFFF"/>
                <w:sz w:val="26"/>
                <w:szCs w:val="26"/>
              </w:rPr>
              <w:t xml:space="preserve">5 Things She Did That Most Students Do Not</w:t>
            </w:r>
          </w:p>
        </w:tc>
      </w:tr>
    </w:tbl>
    <w:p>
      <w:pPr>
        <w:spacing w:after="0" w:before="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60"/>
        <w:gridCol w:w="8200"/>
      </w:tblGrid>
      <w:tr>
        <w:tc>
          <w:tcPr>
            <w:tcW w:type="dxa" w:w="1160"/>
            <w:tcBorders>
              <w:top w:val="single" w:color="E2E8F0" w:sz="1"/>
              <w:left w:val="single" w:color="E2E8F0" w:sz="1"/>
              <w:bottom w:val="single" w:color="E2E8F0" w:sz="1"/>
              <w:right w:val="single" w:color="E2E8F0" w:sz="1"/>
            </w:tcBorders>
            <w:shd w:fill="2563EB" w:val="clear"/>
            <w:tcMar>
              <w:top w:type="dxa" w:w="120"/>
              <w:left w:type="dxa" w:w="80"/>
              <w:bottom w:type="dxa" w:w="120"/>
              <w:right w:type="dxa" w:w="80"/>
            </w:tcMar>
            <w:vAlign w:val="center"/>
          </w:tcPr>
          <w:p>
            <w:pPr>
              <w:spacing w:after="20" w:before="0"/>
              <w:jc w:val="center"/>
            </w:pPr>
            <w:r>
              <w:rPr>
                <w:rFonts w:ascii="Gotham" w:cs="Gotham" w:eastAsia="Gotham" w:hAnsi="Gotham"/>
                <w:b/>
                <w:bCs/>
                <w:color w:val="FFFFFF"/>
                <w:sz w:val="28"/>
                <w:szCs w:val="28"/>
              </w:rPr>
              <w:t xml:space="preserve">01</w:t>
            </w:r>
          </w:p>
          <w:p>
            <w:pPr>
              <w:spacing w:after="0" w:before="0"/>
              <w:jc w:val="center"/>
            </w:pPr>
            <w:r>
              <w:rPr>
                <w:rFonts w:ascii="Gotham" w:cs="Gotham" w:eastAsia="Gotham" w:hAnsi="Gotham"/>
                <w:b/>
                <w:bCs/>
                <w:color w:val="FFFFFF"/>
                <w:sz w:val="11"/>
                <w:szCs w:val="11"/>
              </w:rPr>
              <w:t xml:space="preserve">QUANT</w:t>
            </w:r>
          </w:p>
        </w:tc>
        <w:tc>
          <w:tcPr>
            <w:tcW w:type="dxa" w:w="8200"/>
            <w:tcBorders>
              <w:top w:val="single" w:color="E2E8F0" w:sz="1"/>
              <w:left w:val="single" w:color="E2E8F0" w:sz="1"/>
              <w:bottom w:val="single" w:color="E2E8F0" w:sz="1"/>
              <w:right w:val="single" w:color="E2E8F0" w:sz="1"/>
            </w:tcBorders>
            <w:shd w:fill="DBEAFE" w:val="clear"/>
            <w:tcMar>
              <w:top w:type="dxa" w:w="120"/>
              <w:left w:type="dxa" w:w="180"/>
              <w:bottom w:type="dxa" w:w="100"/>
              <w:right w:type="dxa" w:w="140"/>
            </w:tcMar>
          </w:tcPr>
          <w:p>
            <w:pPr>
              <w:spacing w:after="40" w:before="0"/>
            </w:pPr>
            <w:r>
              <w:rPr>
                <w:rFonts w:ascii="Gotham" w:cs="Gotham" w:eastAsia="Gotham" w:hAnsi="Gotham"/>
                <w:b/>
                <w:bCs/>
                <w:color w:val="2563EB"/>
                <w:sz w:val="19"/>
                <w:szCs w:val="19"/>
              </w:rPr>
              <w:t xml:space="preserve">She stopped doing maths and started doing reasoning.</w:t>
            </w:r>
          </w:p>
          <w:p>
            <w:pPr>
              <w:spacing w:after="0" w:before="0"/>
            </w:pPr>
            <w:r>
              <w:rPr>
                <w:rFonts w:ascii="Gotham" w:cs="Gotham" w:eastAsia="Gotham" w:hAnsi="Gotham"/>
                <w:color w:val="0F172A"/>
                <w:sz w:val="17"/>
                <w:szCs w:val="17"/>
              </w:rPr>
              <w:t xml:space="preserve">Her Quant moved from 64th to 75th percentile not because she practised more sums, but because she changed her entire approach. Devmitra Sen's Quant videos helped her shift from pure math-based solving to smarter, reasoning-first strategies — elimination, plugging in numbers, choosing values that make the problem easier. The GMAT Quant section rewards how you think, not how fast you calculate.</w:t>
            </w:r>
          </w:p>
        </w:tc>
      </w:tr>
      <w:tr>
        <w:tc>
          <w:tcPr>
            <w:tcW w:type="dxa" w:w="1160"/>
            <w:tcBorders>
              <w:top w:val="single" w:color="E2E8F0" w:sz="1"/>
              <w:left w:val="single" w:color="E2E8F0" w:sz="1"/>
              <w:bottom w:val="single" w:color="E2E8F0" w:sz="1"/>
              <w:right w:val="single" w:color="E2E8F0" w:sz="1"/>
            </w:tcBorders>
            <w:shd w:fill="16A34A" w:val="clear"/>
            <w:tcMar>
              <w:top w:type="dxa" w:w="120"/>
              <w:left w:type="dxa" w:w="80"/>
              <w:bottom w:type="dxa" w:w="120"/>
              <w:right w:type="dxa" w:w="80"/>
            </w:tcMar>
            <w:vAlign w:val="center"/>
          </w:tcPr>
          <w:p>
            <w:pPr>
              <w:spacing w:after="20" w:before="0"/>
              <w:jc w:val="center"/>
            </w:pPr>
            <w:r>
              <w:rPr>
                <w:rFonts w:ascii="Gotham" w:cs="Gotham" w:eastAsia="Gotham" w:hAnsi="Gotham"/>
                <w:b/>
                <w:bCs/>
                <w:color w:val="FFFFFF"/>
                <w:sz w:val="28"/>
                <w:szCs w:val="28"/>
              </w:rPr>
              <w:t xml:space="preserve">02</w:t>
            </w:r>
          </w:p>
          <w:p>
            <w:pPr>
              <w:spacing w:after="0" w:before="0"/>
              <w:jc w:val="center"/>
            </w:pPr>
            <w:r>
              <w:rPr>
                <w:rFonts w:ascii="Gotham" w:cs="Gotham" w:eastAsia="Gotham" w:hAnsi="Gotham"/>
                <w:b/>
                <w:bCs/>
                <w:color w:val="FFFFFF"/>
                <w:sz w:val="11"/>
                <w:szCs w:val="11"/>
              </w:rPr>
              <w:t xml:space="preserve">VERBAL</w:t>
            </w:r>
          </w:p>
        </w:tc>
        <w:tc>
          <w:tcPr>
            <w:tcW w:type="dxa" w:w="8200"/>
            <w:tcBorders>
              <w:top w:val="single" w:color="E2E8F0" w:sz="1"/>
              <w:left w:val="single" w:color="E2E8F0" w:sz="1"/>
              <w:bottom w:val="single" w:color="E2E8F0" w:sz="1"/>
              <w:right w:val="single" w:color="E2E8F0" w:sz="1"/>
            </w:tcBorders>
            <w:shd w:fill="DCFCE7" w:val="clear"/>
            <w:tcMar>
              <w:top w:type="dxa" w:w="120"/>
              <w:left w:type="dxa" w:w="180"/>
              <w:bottom w:type="dxa" w:w="100"/>
              <w:right w:type="dxa" w:w="140"/>
            </w:tcMar>
          </w:tcPr>
          <w:p>
            <w:pPr>
              <w:spacing w:after="40" w:before="0"/>
            </w:pPr>
            <w:r>
              <w:rPr>
                <w:rFonts w:ascii="Gotham" w:cs="Gotham" w:eastAsia="Gotham" w:hAnsi="Gotham"/>
                <w:b/>
                <w:bCs/>
                <w:color w:val="16A34A"/>
                <w:sz w:val="19"/>
                <w:szCs w:val="19"/>
              </w:rPr>
              <w:t xml:space="preserve">She read verbal like an argument, not a passage.</w:t>
            </w:r>
          </w:p>
          <w:p>
            <w:pPr>
              <w:spacing w:after="0" w:before="0"/>
            </w:pPr>
            <w:r>
              <w:rPr>
                <w:rFonts w:ascii="Gotham" w:cs="Gotham" w:eastAsia="Gotham" w:hAnsi="Gotham"/>
                <w:color w:val="0F172A"/>
                <w:sz w:val="17"/>
                <w:szCs w:val="17"/>
              </w:rPr>
              <w:t xml:space="preserve">The most dramatic jump in the entire score: 47th percentile to 83rd. Working with Nitha J, she stopped trying to comprehend and started asking the only question the GMAT ever really asks — what is the claim, what is the support, where is the gap? After every wrong answer she wrote exactly what she misread, not what she miscalculated. She never accepted an explanation that was 80% good enough.</w:t>
            </w:r>
          </w:p>
        </w:tc>
      </w:tr>
      <w:tr>
        <w:tc>
          <w:tcPr>
            <w:tcW w:type="dxa" w:w="1160"/>
            <w:tcBorders>
              <w:top w:val="single" w:color="E2E8F0" w:sz="1"/>
              <w:left w:val="single" w:color="E2E8F0" w:sz="1"/>
              <w:bottom w:val="single" w:color="E2E8F0" w:sz="1"/>
              <w:right w:val="single" w:color="E2E8F0" w:sz="1"/>
            </w:tcBorders>
            <w:shd w:fill="2563EB" w:val="clear"/>
            <w:tcMar>
              <w:top w:type="dxa" w:w="120"/>
              <w:left w:type="dxa" w:w="80"/>
              <w:bottom w:type="dxa" w:w="120"/>
              <w:right w:type="dxa" w:w="80"/>
            </w:tcMar>
            <w:vAlign w:val="center"/>
          </w:tcPr>
          <w:p>
            <w:pPr>
              <w:spacing w:after="20" w:before="0"/>
              <w:jc w:val="center"/>
            </w:pPr>
            <w:r>
              <w:rPr>
                <w:rFonts w:ascii="Gotham" w:cs="Gotham" w:eastAsia="Gotham" w:hAnsi="Gotham"/>
                <w:b/>
                <w:bCs/>
                <w:color w:val="FFFFFF"/>
                <w:sz w:val="28"/>
                <w:szCs w:val="28"/>
              </w:rPr>
              <w:t xml:space="preserve">03</w:t>
            </w:r>
          </w:p>
          <w:p>
            <w:pPr>
              <w:spacing w:after="0" w:before="0"/>
              <w:jc w:val="center"/>
            </w:pPr>
            <w:r>
              <w:rPr>
                <w:rFonts w:ascii="Gotham" w:cs="Gotham" w:eastAsia="Gotham" w:hAnsi="Gotham"/>
                <w:b/>
                <w:bCs/>
                <w:color w:val="FFFFFF"/>
                <w:sz w:val="11"/>
                <w:szCs w:val="11"/>
              </w:rPr>
              <w:t xml:space="preserve">DATA INSIGHTS</w:t>
            </w:r>
          </w:p>
        </w:tc>
        <w:tc>
          <w:tcPr>
            <w:tcW w:type="dxa" w:w="8200"/>
            <w:tcBorders>
              <w:top w:val="single" w:color="E2E8F0" w:sz="1"/>
              <w:left w:val="single" w:color="E2E8F0" w:sz="1"/>
              <w:bottom w:val="single" w:color="E2E8F0" w:sz="1"/>
              <w:right w:val="single" w:color="E2E8F0" w:sz="1"/>
            </w:tcBorders>
            <w:shd w:fill="DBEAFE" w:val="clear"/>
            <w:tcMar>
              <w:top w:type="dxa" w:w="120"/>
              <w:left w:type="dxa" w:w="180"/>
              <w:bottom w:type="dxa" w:w="100"/>
              <w:right w:type="dxa" w:w="140"/>
            </w:tcMar>
          </w:tcPr>
          <w:p>
            <w:pPr>
              <w:spacing w:after="40" w:before="0"/>
            </w:pPr>
            <w:r>
              <w:rPr>
                <w:rFonts w:ascii="Gotham" w:cs="Gotham" w:eastAsia="Gotham" w:hAnsi="Gotham"/>
                <w:b/>
                <w:bCs/>
                <w:color w:val="2563EB"/>
                <w:sz w:val="19"/>
                <w:szCs w:val="19"/>
              </w:rPr>
              <w:t xml:space="preserve">She built a specific strategy for each of the 5 DI formats.</w:t>
            </w:r>
          </w:p>
          <w:p>
            <w:pPr>
              <w:spacing w:after="0" w:before="0"/>
            </w:pPr>
            <w:r>
              <w:rPr>
                <w:rFonts w:ascii="Gotham" w:cs="Gotham" w:eastAsia="Gotham" w:hAnsi="Gotham"/>
                <w:color w:val="0F172A"/>
                <w:sz w:val="17"/>
                <w:szCs w:val="17"/>
              </w:rPr>
              <w:t xml:space="preserve">Her DI jumped from 62nd to 83rd percentile. Through 1-1 sessions with Devmitra Sen, she worked through every format individually — Graphs, Tables, Data Sufficiency, Two-Part Analysis, and Multi-Source Reasoning — with a distinct, practised approach for each. Stronger comprehension combined with mentor-guided strategies made the difference. This attempt was also light on maths, so the analytical reading she had built in Verbal carried directly across.</w:t>
            </w:r>
          </w:p>
        </w:tc>
      </w:tr>
      <w:tr>
        <w:tc>
          <w:tcPr>
            <w:tcW w:type="dxa" w:w="1160"/>
            <w:tcBorders>
              <w:top w:val="single" w:color="E2E8F0" w:sz="1"/>
              <w:left w:val="single" w:color="E2E8F0" w:sz="1"/>
              <w:bottom w:val="single" w:color="E2E8F0" w:sz="1"/>
              <w:right w:val="single" w:color="E2E8F0" w:sz="1"/>
            </w:tcBorders>
            <w:shd w:fill="16A34A" w:val="clear"/>
            <w:tcMar>
              <w:top w:type="dxa" w:w="120"/>
              <w:left w:type="dxa" w:w="80"/>
              <w:bottom w:type="dxa" w:w="120"/>
              <w:right w:type="dxa" w:w="80"/>
            </w:tcMar>
            <w:vAlign w:val="center"/>
          </w:tcPr>
          <w:p>
            <w:pPr>
              <w:spacing w:after="20" w:before="0"/>
              <w:jc w:val="center"/>
            </w:pPr>
            <w:r>
              <w:rPr>
                <w:rFonts w:ascii="Gotham" w:cs="Gotham" w:eastAsia="Gotham" w:hAnsi="Gotham"/>
                <w:b/>
                <w:bCs/>
                <w:color w:val="FFFFFF"/>
                <w:sz w:val="28"/>
                <w:szCs w:val="28"/>
              </w:rPr>
              <w:t xml:space="preserve">04</w:t>
            </w:r>
          </w:p>
          <w:p>
            <w:pPr>
              <w:spacing w:after="0" w:before="0"/>
              <w:jc w:val="center"/>
            </w:pPr>
            <w:r>
              <w:rPr>
                <w:rFonts w:ascii="Gotham" w:cs="Gotham" w:eastAsia="Gotham" w:hAnsi="Gotham"/>
                <w:b/>
                <w:bCs/>
                <w:color w:val="FFFFFF"/>
                <w:sz w:val="11"/>
                <w:szCs w:val="11"/>
              </w:rPr>
              <w:t xml:space="preserve">CONSISTENCY</w:t>
            </w:r>
          </w:p>
        </w:tc>
        <w:tc>
          <w:tcPr>
            <w:tcW w:type="dxa" w:w="8200"/>
            <w:tcBorders>
              <w:top w:val="single" w:color="E2E8F0" w:sz="1"/>
              <w:left w:val="single" w:color="E2E8F0" w:sz="1"/>
              <w:bottom w:val="single" w:color="E2E8F0" w:sz="1"/>
              <w:right w:val="single" w:color="E2E8F0" w:sz="1"/>
            </w:tcBorders>
            <w:shd w:fill="DCFCE7" w:val="clear"/>
            <w:tcMar>
              <w:top w:type="dxa" w:w="120"/>
              <w:left w:type="dxa" w:w="180"/>
              <w:bottom w:type="dxa" w:w="100"/>
              <w:right w:type="dxa" w:w="140"/>
            </w:tcMar>
          </w:tcPr>
          <w:p>
            <w:pPr>
              <w:spacing w:after="40" w:before="0"/>
            </w:pPr>
            <w:r>
              <w:rPr>
                <w:rFonts w:ascii="Gotham" w:cs="Gotham" w:eastAsia="Gotham" w:hAnsi="Gotham"/>
                <w:b/>
                <w:bCs/>
                <w:color w:val="16A34A"/>
                <w:sz w:val="19"/>
                <w:szCs w:val="19"/>
              </w:rPr>
              <w:t xml:space="preserve">She never let a difficult week break the rhythm.</w:t>
            </w:r>
          </w:p>
          <w:p>
            <w:pPr>
              <w:spacing w:after="0" w:before="0"/>
            </w:pPr>
            <w:r>
              <w:rPr>
                <w:rFonts w:ascii="Gotham" w:cs="Gotham" w:eastAsia="Gotham" w:hAnsi="Gotham"/>
                <w:color w:val="0F172A"/>
                <w:sz w:val="17"/>
                <w:szCs w:val="17"/>
              </w:rPr>
              <w:t xml:space="preserve">Boeing is a demanding place to work. She rescheduled when she had to, sent voice notes mid-day about questions she could not crack, and showed up the next session regardless. She never left a question half-answered. Seventy-three days of that quiet, steady discipline is what moved the needle — not intensity, not sprints.</w:t>
            </w:r>
          </w:p>
        </w:tc>
      </w:tr>
      <w:tr>
        <w:tc>
          <w:tcPr>
            <w:tcW w:type="dxa" w:w="1160"/>
            <w:tcBorders>
              <w:top w:val="single" w:color="E2E8F0" w:sz="1"/>
              <w:left w:val="single" w:color="E2E8F0" w:sz="1"/>
              <w:bottom w:val="single" w:color="E2E8F0" w:sz="1"/>
              <w:right w:val="single" w:color="E2E8F0" w:sz="1"/>
            </w:tcBorders>
            <w:shd w:fill="2563EB" w:val="clear"/>
            <w:tcMar>
              <w:top w:type="dxa" w:w="120"/>
              <w:left w:type="dxa" w:w="80"/>
              <w:bottom w:type="dxa" w:w="120"/>
              <w:right w:type="dxa" w:w="80"/>
            </w:tcMar>
            <w:vAlign w:val="center"/>
          </w:tcPr>
          <w:p>
            <w:pPr>
              <w:spacing w:after="20" w:before="0"/>
              <w:jc w:val="center"/>
            </w:pPr>
            <w:r>
              <w:rPr>
                <w:rFonts w:ascii="Gotham" w:cs="Gotham" w:eastAsia="Gotham" w:hAnsi="Gotham"/>
                <w:b/>
                <w:bCs/>
                <w:color w:val="FFFFFF"/>
                <w:sz w:val="28"/>
                <w:szCs w:val="28"/>
              </w:rPr>
              <w:t xml:space="preserve">05</w:t>
            </w:r>
          </w:p>
          <w:p>
            <w:pPr>
              <w:spacing w:after="0" w:before="0"/>
              <w:jc w:val="center"/>
            </w:pPr>
            <w:r>
              <w:rPr>
                <w:rFonts w:ascii="Gotham" w:cs="Gotham" w:eastAsia="Gotham" w:hAnsi="Gotham"/>
                <w:b/>
                <w:bCs/>
                <w:color w:val="FFFFFF"/>
                <w:sz w:val="11"/>
                <w:szCs w:val="11"/>
              </w:rPr>
              <w:t xml:space="preserve">CLARITY</w:t>
            </w:r>
          </w:p>
        </w:tc>
        <w:tc>
          <w:tcPr>
            <w:tcW w:type="dxa" w:w="8200"/>
            <w:tcBorders>
              <w:top w:val="single" w:color="E2E8F0" w:sz="1"/>
              <w:left w:val="single" w:color="E2E8F0" w:sz="1"/>
              <w:bottom w:val="single" w:color="E2E8F0" w:sz="1"/>
              <w:right w:val="single" w:color="E2E8F0" w:sz="1"/>
            </w:tcBorders>
            <w:shd w:fill="DBEAFE" w:val="clear"/>
            <w:tcMar>
              <w:top w:type="dxa" w:w="120"/>
              <w:left w:type="dxa" w:w="180"/>
              <w:bottom w:type="dxa" w:w="100"/>
              <w:right w:type="dxa" w:w="140"/>
            </w:tcMar>
          </w:tcPr>
          <w:p>
            <w:pPr>
              <w:spacing w:after="40" w:before="0"/>
            </w:pPr>
            <w:r>
              <w:rPr>
                <w:rFonts w:ascii="Gotham" w:cs="Gotham" w:eastAsia="Gotham" w:hAnsi="Gotham"/>
                <w:b/>
                <w:bCs/>
                <w:color w:val="2563EB"/>
                <w:sz w:val="19"/>
                <w:szCs w:val="19"/>
              </w:rPr>
              <w:t xml:space="preserve">She knew exactly what she was building toward.</w:t>
            </w:r>
          </w:p>
          <w:p>
            <w:pPr>
              <w:spacing w:after="0" w:before="0"/>
            </w:pPr>
            <w:r>
              <w:rPr>
                <w:rFonts w:ascii="Gotham" w:cs="Gotham" w:eastAsia="Gotham" w:hAnsi="Gotham"/>
                <w:color w:val="0F172A"/>
                <w:sz w:val="17"/>
                <w:szCs w:val="17"/>
              </w:rPr>
              <w:t xml:space="preserve">She was not preparing for the GMAT in the abstract. She was preparing for MIT LGO — a program more selective than MIT Sloan itself, built for operations and manufacturing leaders. That clarity shaped how she approached every session, every error log, every wrong answer she refused to leave unexplained. Purpose-built preparation hits differently.</w:t>
            </w:r>
          </w:p>
        </w:tc>
      </w:tr>
    </w:tbl>
    <w:p>
      <w:pPr>
        <w:spacing w:after="0" w:before="2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0F172A" w:val="clear"/>
            <w:tcMar>
              <w:top w:type="dxa" w:w="160"/>
              <w:left w:type="dxa" w:w="240"/>
              <w:bottom w:type="dxa" w:w="160"/>
              <w:right w:type="dxa" w:w="240"/>
            </w:tcMar>
          </w:tcPr>
          <w:p>
            <w:r>
              <w:rPr>
                <w:rFonts w:ascii="Gotham" w:cs="Gotham" w:eastAsia="Gotham" w:hAnsi="Gotham"/>
                <w:b/>
                <w:bCs/>
                <w:color w:val="FFFFFF"/>
                <w:sz w:val="26"/>
                <w:szCs w:val="26"/>
              </w:rPr>
              <w:t xml:space="preserve">From 645 to MIT — The Admissions Story</w:t>
            </w:r>
          </w:p>
        </w:tc>
      </w:tr>
    </w:tbl>
    <w:p>
      <w:pPr>
        <w:spacing w:after="0" w:before="60"/>
      </w:pPr>
    </w:p>
    <w:p>
      <w:pPr>
        <w:spacing w:after="80" w:before="0"/>
      </w:pPr>
      <w:r>
        <w:rPr>
          <w:rFonts w:ascii="Gotham" w:cs="Gotham" w:eastAsia="Gotham" w:hAnsi="Gotham"/>
          <w:i/>
          <w:iCs/>
          <w:color w:val="666666"/>
          <w:sz w:val="17"/>
          <w:szCs w:val="17"/>
        </w:rPr>
        <w:t xml:space="preserve">Shreekala Kurup on what made the difference beyond the score: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700"/>
        <w:gridCol w:w="6660"/>
      </w:tblGrid>
      <w:tr>
        <w:tc>
          <w:tcPr>
            <w:tcW w:type="dxa" w:w="2700"/>
            <w:tcBorders>
              <w:top w:val="single" w:color="E2E8F0" w:sz="1"/>
              <w:left w:val="single" w:color="E2E8F0" w:sz="1"/>
              <w:bottom w:val="single" w:color="E2E8F0" w:sz="1"/>
              <w:right w:val="single" w:color="E2E8F0" w:sz="1"/>
            </w:tcBorders>
            <w:shd w:fill="0F172A" w:val="clear"/>
            <w:tcMar>
              <w:top w:type="dxa" w:w="160"/>
              <w:left w:type="dxa" w:w="160"/>
              <w:bottom w:type="dxa" w:w="160"/>
              <w:right w:type="dxa" w:w="160"/>
            </w:tcMar>
            <w:vAlign w:val="center"/>
          </w:tcPr>
          <w:p>
            <w:r>
              <w:rPr>
                <w:rFonts w:ascii="Gotham" w:cs="Gotham" w:eastAsia="Gotham" w:hAnsi="Gotham"/>
                <w:b/>
                <w:bCs/>
                <w:color w:val="FFFFFF"/>
                <w:sz w:val="19"/>
                <w:szCs w:val="19"/>
              </w:rPr>
              <w:t xml:space="preserve">Why 645 was enough for MIT LGO</w:t>
            </w:r>
          </w:p>
        </w:tc>
        <w:tc>
          <w:tcPr>
            <w:tcW w:type="dxa" w:w="6660"/>
            <w:tcBorders>
              <w:top w:val="single" w:color="E2E8F0" w:sz="1"/>
              <w:left w:val="single" w:color="E2E8F0" w:sz="1"/>
              <w:bottom w:val="single" w:color="E2E8F0" w:sz="1"/>
              <w:right w:val="single" w:color="E2E8F0" w:sz="1"/>
            </w:tcBorders>
            <w:shd w:fill="F8FAFC" w:val="clear"/>
            <w:tcMar>
              <w:top w:type="dxa" w:w="120"/>
              <w:left w:type="dxa" w:w="180"/>
              <w:bottom w:type="dxa" w:w="120"/>
              <w:right w:type="dxa" w:w="160"/>
            </w:tcMar>
          </w:tcPr>
          <w:p>
            <w:pPr>
              <w:spacing w:after="0" w:before="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LGO is harder to get into than MIT Sloan itself</w:t>
            </w:r>
          </w:p>
          <w:p>
            <w:pPr>
              <w:spacing w:after="0" w:before="6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Cohort is small and niche — operations and manufacturing leaders only</w:t>
            </w:r>
          </w:p>
          <w:p>
            <w:pPr>
              <w:spacing w:after="0" w:before="6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Program fit and depth of expertise matter more than the score</w:t>
            </w:r>
          </w:p>
          <w:p>
            <w:pPr>
              <w:spacing w:after="0" w:before="6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Her profile was so strong, the GMAT was never the real concern</w:t>
            </w:r>
          </w:p>
        </w:tc>
      </w:tr>
      <w:tr>
        <w:tc>
          <w:tcPr>
            <w:tcW w:type="dxa" w:w="2700"/>
            <w:tcBorders>
              <w:top w:val="single" w:color="E2E8F0" w:sz="1"/>
              <w:left w:val="single" w:color="E2E8F0" w:sz="1"/>
              <w:bottom w:val="single" w:color="E2E8F0" w:sz="1"/>
              <w:right w:val="single" w:color="E2E8F0" w:sz="1"/>
            </w:tcBorders>
            <w:shd w:fill="0F172A" w:val="clear"/>
            <w:tcMar>
              <w:top w:type="dxa" w:w="160"/>
              <w:left w:type="dxa" w:w="160"/>
              <w:bottom w:type="dxa" w:w="160"/>
              <w:right w:type="dxa" w:w="160"/>
            </w:tcMar>
            <w:vAlign w:val="center"/>
          </w:tcPr>
          <w:p>
            <w:r>
              <w:rPr>
                <w:rFonts w:ascii="Gotham" w:cs="Gotham" w:eastAsia="Gotham" w:hAnsi="Gotham"/>
                <w:b/>
                <w:bCs/>
                <w:color w:val="FFFFFF"/>
                <w:sz w:val="19"/>
                <w:szCs w:val="19"/>
              </w:rPr>
              <w:t xml:space="preserve">The profile that made MIT realistic</w:t>
            </w:r>
          </w:p>
        </w:tc>
        <w:tc>
          <w:tcPr>
            <w:tcW w:type="dxa" w:w="6660"/>
            <w:tcBorders>
              <w:top w:val="single" w:color="E2E8F0" w:sz="1"/>
              <w:left w:val="single" w:color="E2E8F0" w:sz="1"/>
              <w:bottom w:val="single" w:color="E2E8F0" w:sz="1"/>
              <w:right w:val="single" w:color="E2E8F0" w:sz="1"/>
            </w:tcBorders>
            <w:shd w:fill="F8FAFC" w:val="clear"/>
            <w:tcMar>
              <w:top w:type="dxa" w:w="120"/>
              <w:left w:type="dxa" w:w="180"/>
              <w:bottom w:type="dxa" w:w="120"/>
              <w:right w:type="dxa" w:w="160"/>
            </w:tcMar>
          </w:tcPr>
          <w:p>
            <w:pPr>
              <w:spacing w:after="0" w:before="0"/>
            </w:pPr>
            <w:r>
              <w:rPr>
                <w:rFonts w:ascii="Gotham" w:cs="Gotham" w:eastAsia="Gotham" w:hAnsi="Gotham"/>
                <w:b/>
                <w:bCs/>
                <w:color w:val="16A34A"/>
                <w:sz w:val="18"/>
                <w:szCs w:val="18"/>
              </w:rPr>
              <w:t xml:space="preserve">› </w:t>
            </w:r>
            <w:r>
              <w:rPr>
                <w:rFonts w:ascii="Gotham" w:cs="Gotham" w:eastAsia="Gotham" w:hAnsi="Gotham"/>
                <w:color w:val="0F172A"/>
                <w:sz w:val="17"/>
                <w:szCs w:val="17"/>
              </w:rPr>
              <w:t xml:space="preserve">Boeing experience on programs that matter — including the Alaska Airlines door plug incident</w:t>
            </w:r>
          </w:p>
          <w:p>
            <w:pPr>
              <w:spacing w:after="0" w:before="60"/>
            </w:pPr>
            <w:r>
              <w:rPr>
                <w:rFonts w:ascii="Gotham" w:cs="Gotham" w:eastAsia="Gotham" w:hAnsi="Gotham"/>
                <w:b/>
                <w:bCs/>
                <w:color w:val="16A34A"/>
                <w:sz w:val="18"/>
                <w:szCs w:val="18"/>
              </w:rPr>
              <w:t xml:space="preserve">› </w:t>
            </w:r>
            <w:r>
              <w:rPr>
                <w:rFonts w:ascii="Gotham" w:cs="Gotham" w:eastAsia="Gotham" w:hAnsi="Gotham"/>
                <w:color w:val="0F172A"/>
                <w:sz w:val="17"/>
                <w:szCs w:val="17"/>
              </w:rPr>
              <w:t xml:space="preserve">Master's in Aerospace Engineering, University of Toronto</w:t>
            </w:r>
          </w:p>
          <w:p>
            <w:pPr>
              <w:spacing w:after="0" w:before="60"/>
            </w:pPr>
            <w:r>
              <w:rPr>
                <w:rFonts w:ascii="Gotham" w:cs="Gotham" w:eastAsia="Gotham" w:hAnsi="Gotham"/>
                <w:b/>
                <w:bCs/>
                <w:color w:val="16A34A"/>
                <w:sz w:val="18"/>
                <w:szCs w:val="18"/>
              </w:rPr>
              <w:t xml:space="preserve">› </w:t>
            </w:r>
            <w:r>
              <w:rPr>
                <w:rFonts w:ascii="Gotham" w:cs="Gotham" w:eastAsia="Gotham" w:hAnsi="Gotham"/>
                <w:color w:val="0F172A"/>
                <w:sz w:val="17"/>
                <w:szCs w:val="17"/>
              </w:rPr>
              <w:t xml:space="preserve">Work across India, Canada and the US</w:t>
            </w:r>
          </w:p>
          <w:p>
            <w:pPr>
              <w:spacing w:after="0" w:before="60"/>
            </w:pPr>
            <w:r>
              <w:rPr>
                <w:rFonts w:ascii="Gotham" w:cs="Gotham" w:eastAsia="Gotham" w:hAnsi="Gotham"/>
                <w:b/>
                <w:bCs/>
                <w:color w:val="16A34A"/>
                <w:sz w:val="18"/>
                <w:szCs w:val="18"/>
              </w:rPr>
              <w:t xml:space="preserve">› </w:t>
            </w:r>
            <w:r>
              <w:rPr>
                <w:rFonts w:ascii="Gotham" w:cs="Gotham" w:eastAsia="Gotham" w:hAnsi="Gotham"/>
                <w:color w:val="0F172A"/>
                <w:sz w:val="17"/>
                <w:szCs w:val="17"/>
              </w:rPr>
              <w:t xml:space="preserve">Leading AI-based continuous improvement work at Boeing</w:t>
            </w:r>
          </w:p>
          <w:p>
            <w:pPr>
              <w:spacing w:after="0" w:before="60"/>
            </w:pPr>
            <w:r>
              <w:rPr>
                <w:rFonts w:ascii="Gotham" w:cs="Gotham" w:eastAsia="Gotham" w:hAnsi="Gotham"/>
                <w:b/>
                <w:bCs/>
                <w:color w:val="16A34A"/>
                <w:sz w:val="18"/>
                <w:szCs w:val="18"/>
              </w:rPr>
              <w:t xml:space="preserve">› </w:t>
            </w:r>
            <w:r>
              <w:rPr>
                <w:rFonts w:ascii="Gotham" w:cs="Gotham" w:eastAsia="Gotham" w:hAnsi="Gotham"/>
                <w:color w:val="0F172A"/>
                <w:sz w:val="17"/>
                <w:szCs w:val="17"/>
              </w:rPr>
              <w:t xml:space="preserve">Only 2 Boeing candidates selected for LGO. She was one of them</w:t>
            </w:r>
          </w:p>
        </w:tc>
      </w:tr>
      <w:tr>
        <w:tc>
          <w:tcPr>
            <w:tcW w:type="dxa" w:w="2700"/>
            <w:tcBorders>
              <w:top w:val="single" w:color="E2E8F0" w:sz="1"/>
              <w:left w:val="single" w:color="E2E8F0" w:sz="1"/>
              <w:bottom w:val="single" w:color="E2E8F0" w:sz="1"/>
              <w:right w:val="single" w:color="E2E8F0" w:sz="1"/>
            </w:tcBorders>
            <w:shd w:fill="0F172A" w:val="clear"/>
            <w:tcMar>
              <w:top w:type="dxa" w:w="160"/>
              <w:left w:type="dxa" w:w="160"/>
              <w:bottom w:type="dxa" w:w="160"/>
              <w:right w:type="dxa" w:w="160"/>
            </w:tcMar>
            <w:vAlign w:val="center"/>
          </w:tcPr>
          <w:p>
            <w:r>
              <w:rPr>
                <w:rFonts w:ascii="Gotham" w:cs="Gotham" w:eastAsia="Gotham" w:hAnsi="Gotham"/>
                <w:b/>
                <w:bCs/>
                <w:color w:val="FFFFFF"/>
                <w:sz w:val="19"/>
                <w:szCs w:val="19"/>
              </w:rPr>
              <w:t xml:space="preserve">The essay angle that made her memorable</w:t>
            </w:r>
          </w:p>
        </w:tc>
        <w:tc>
          <w:tcPr>
            <w:tcW w:type="dxa" w:w="6660"/>
            <w:tcBorders>
              <w:top w:val="single" w:color="E2E8F0" w:sz="1"/>
              <w:left w:val="single" w:color="E2E8F0" w:sz="1"/>
              <w:bottom w:val="single" w:color="E2E8F0" w:sz="1"/>
              <w:right w:val="single" w:color="E2E8F0" w:sz="1"/>
            </w:tcBorders>
            <w:shd w:fill="F8FAFC" w:val="clear"/>
            <w:tcMar>
              <w:top w:type="dxa" w:w="120"/>
              <w:left w:type="dxa" w:w="180"/>
              <w:bottom w:type="dxa" w:w="120"/>
              <w:right w:type="dxa" w:w="160"/>
            </w:tcMar>
          </w:tcPr>
          <w:p>
            <w:pPr>
              <w:spacing w:after="0" w:before="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Most aerospace candidates write about quality and safety — she did not</w:t>
            </w:r>
          </w:p>
          <w:p>
            <w:pPr>
              <w:spacing w:after="0" w:before="6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Her angle: deliverability, speed, and customer flexibility</w:t>
            </w:r>
          </w:p>
          <w:p>
            <w:pPr>
              <w:spacing w:after="0" w:before="6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Boeing and Airbus have massive manufacturing backlogs — an operational problem, not a technical one</w:t>
            </w:r>
          </w:p>
          <w:p>
            <w:pPr>
              <w:spacing w:after="0" w:before="6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Every essay and story arc was built around that operational lens</w:t>
            </w:r>
          </w:p>
          <w:p>
            <w:pPr>
              <w:spacing w:after="0" w:before="60"/>
            </w:pPr>
            <w:r>
              <w:rPr>
                <w:rFonts w:ascii="Gotham" w:cs="Gotham" w:eastAsia="Gotham" w:hAnsi="Gotham"/>
                <w:b/>
                <w:bCs/>
                <w:color w:val="2563EB"/>
                <w:sz w:val="18"/>
                <w:szCs w:val="18"/>
              </w:rPr>
              <w:t xml:space="preserve">› </w:t>
            </w:r>
            <w:r>
              <w:rPr>
                <w:rFonts w:ascii="Gotham" w:cs="Gotham" w:eastAsia="Gotham" w:hAnsi="Gotham"/>
                <w:color w:val="0F172A"/>
                <w:sz w:val="17"/>
                <w:szCs w:val="17"/>
              </w:rPr>
              <w:t xml:space="preserve">Fresh, specific, and impossible for the committee to forget</w:t>
            </w:r>
          </w:p>
        </w:tc>
      </w:tr>
    </w:tbl>
    <w:p>
      <w:pPr>
        <w:spacing w:after="0" w:before="2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200"/>
        <w:gridCol w:w="3160"/>
      </w:tblGrid>
      <w:tr>
        <w:tc>
          <w:tcPr>
            <w:tcW w:type="dxa" w:w="6200"/>
            <w:tcBorders>
              <w:top w:val="none" w:color="FFFFFF" w:sz="0"/>
              <w:left w:val="none" w:color="FFFFFF" w:sz="0"/>
              <w:bottom w:val="none" w:color="FFFFFF" w:sz="0"/>
              <w:right w:val="none" w:color="FFFFFF" w:sz="0"/>
            </w:tcBorders>
            <w:shd w:fill="2563EB" w:val="clear"/>
            <w:tcMar>
              <w:top w:type="dxa" w:w="200"/>
              <w:left w:type="dxa" w:w="240"/>
              <w:bottom w:type="dxa" w:w="200"/>
              <w:right w:type="dxa" w:w="200"/>
            </w:tcMar>
            <w:vAlign w:val="center"/>
          </w:tcPr>
          <w:p>
            <w:pPr>
              <w:spacing w:after="50" w:before="0"/>
            </w:pPr>
            <w:r>
              <w:rPr>
                <w:rFonts w:ascii="Gotham" w:cs="Gotham" w:eastAsia="Gotham" w:hAnsi="Gotham"/>
                <w:b/>
                <w:bCs/>
                <w:color w:val="FFFFFF"/>
                <w:sz w:val="24"/>
                <w:szCs w:val="24"/>
              </w:rPr>
              <w:t xml:space="preserve">She is going LIVE.</w:t>
            </w:r>
          </w:p>
          <w:p>
            <w:pPr>
              <w:spacing w:after="0" w:before="0"/>
            </w:pPr>
            <w:r>
              <w:rPr>
                <w:rFonts w:ascii="Gotham" w:cs="Gotham" w:eastAsia="Gotham" w:hAnsi="Gotham"/>
                <w:color w:val="DBEAFE"/>
                <w:sz w:val="19"/>
                <w:szCs w:val="19"/>
              </w:rPr>
              <w:t xml:space="preserve">Saturday April 25 at 7 PM IST</w:t>
            </w:r>
          </w:p>
        </w:tc>
        <w:tc>
          <w:tcPr>
            <w:tcW w:type="dxa" w:w="3160"/>
            <w:tcBorders>
              <w:top w:val="none" w:color="FFFFFF" w:sz="0"/>
              <w:left w:val="none" w:color="FFFFFF" w:sz="0"/>
              <w:bottom w:val="none" w:color="FFFFFF" w:sz="0"/>
              <w:right w:val="none" w:color="FFFFFF" w:sz="0"/>
            </w:tcBorders>
            <w:shd w:fill="F8FAFC" w:val="clear"/>
            <w:tcMar>
              <w:top w:type="dxa" w:w="160"/>
              <w:left w:type="dxa" w:w="200"/>
              <w:bottom w:type="dxa" w:w="160"/>
              <w:right w:type="dxa" w:w="200"/>
            </w:tcMar>
            <w:vAlign w:val="center"/>
          </w:tcPr>
          <w:p>
            <w:r>
              <w:rPr>
                <w:rFonts w:ascii="Gotham" w:cs="Gotham" w:eastAsia="Gotham" w:hAnsi="Gotham"/>
                <w:color w:val="0F172A"/>
                <w:sz w:val="16"/>
                <w:szCs w:val="16"/>
              </w:rPr>
              <w:t xml:space="preserve">Devmitra Sen and Shreekala Kurup in conversation with her — on the GMAT prep, the MIT application, the essay angle that worked, and your questions. Register. Attend. Ask her yourself.</w:t>
            </w:r>
          </w:p>
        </w:tc>
      </w:tr>
    </w:tbl>
    <w:sectPr>
      <w:footerReference w:type="default" r:id="rId7"/>
      <w:pgSz w:w="12240" w:h="15840" w:orient="portrait"/>
      <w:pgMar w:top="90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2563EB" w:sz="2" w:space="4"/>
      </w:pBdr>
      <w:spacing w:after="0" w:before="80"/>
    </w:pPr>
    <w:r>
      <w:rPr>
        <w:rFonts w:ascii="Gotham" w:cs="Gotham" w:eastAsia="Gotham" w:hAnsi="Gotham"/>
        <w:b/>
        <w:bCs/>
        <w:color w:val="0F172A"/>
        <w:sz w:val="16"/>
        <w:szCs w:val="16"/>
      </w:rPr>
      <w:t xml:space="preserve">Crack</w:t>
    </w:r>
    <w:r>
      <w:rPr>
        <w:rFonts w:ascii="Gotham" w:cs="Gotham" w:eastAsia="Gotham" w:hAnsi="Gotham"/>
        <w:b/>
        <w:bCs/>
        <w:color w:val="16A34A"/>
        <w:sz w:val="16"/>
        <w:szCs w:val="16"/>
      </w:rPr>
      <w:t xml:space="preserve">v</w:t>
    </w:r>
    <w:r>
      <w:rPr>
        <w:rFonts w:ascii="Gotham" w:cs="Gotham" w:eastAsia="Gotham" w:hAnsi="Gotham"/>
        <w:b/>
        <w:bCs/>
        <w:color w:val="0F172A"/>
        <w:sz w:val="16"/>
        <w:szCs w:val="16"/>
      </w:rPr>
      <w:t xml:space="preserve">erbal</w:t>
    </w:r>
    <w:r>
      <w:rPr>
        <w:rFonts w:ascii="Gotham" w:cs="Gotham" w:eastAsia="Gotham" w:hAnsi="Gotham"/>
        <w:color w:val="0F172A"/>
        <w:sz w:val="16"/>
        <w:szCs w:val="16"/>
      </w:rPr>
      <w:t xml:space="preserve">  |  gmat.crackverbal.com</w:t>
    </w:r>
    <w:r>
      <w:rPr>
        <w:rFonts w:ascii="Gotham" w:cs="Gotham" w:eastAsia="Gotham" w:hAnsi="Gotham"/>
        <w:color w:val="888888"/>
        <w:sz w:val="14"/>
        <w:szCs w:val="14"/>
      </w:rPr>
      <w:t xml:space="preserve">          © 2025 Crack</w:t>
    </w:r>
    <w:r>
      <w:rPr>
        <w:rFonts w:ascii="Gotham" w:cs="Gotham" w:eastAsia="Gotham" w:hAnsi="Gotham"/>
        <w:color w:val="16A34A"/>
        <w:sz w:val="14"/>
        <w:szCs w:val="14"/>
      </w:rPr>
      <w:t xml:space="preserve">v</w:t>
    </w:r>
    <w:r>
      <w:rPr>
        <w:rFonts w:ascii="Gotham" w:cs="Gotham" w:eastAsia="Gotham" w:hAnsi="Gotham"/>
        <w:color w:val="888888"/>
        <w:sz w:val="14"/>
        <w:szCs w:val="14"/>
      </w:rPr>
      <w:t xml:space="preserve">erbal. All rights reserved.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otham" w:cs="Gotham" w:eastAsia="Gotham" w:hAnsi="Gotham"/>
        <w:color w:val="0F172A"/>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2026-04-20T05:30:24.890Z</dcterms:created>
  <dcterms:modified xsi:type="dcterms:W3CDTF">2026-04-20T05:30:24.891Z</dcterms:modified>
</cp:coreProperties>
</file>

<file path=docProps/custom.xml><?xml version="1.0" encoding="utf-8"?>
<Properties xmlns="http://schemas.openxmlformats.org/officeDocument/2006/custom-properties" xmlns:vt="http://schemas.openxmlformats.org/officeDocument/2006/docPropsVTypes"/>
</file>